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val="0"/>
        <w:autoSpaceDE w:val="0"/>
        <w:autoSpaceDN w:val="0"/>
        <w:adjustRightInd w:val="0"/>
        <w:textAlignment w:val="baseline"/>
        <w:rPr>
          <w:rFonts w:hint="default" w:ascii="Arial" w:hAnsi="Arial" w:eastAsia="宋体"/>
          <w:b/>
          <w:bCs/>
          <w:sz w:val="24"/>
          <w:lang w:val="en-US" w:eastAsia="zh-CN"/>
        </w:rPr>
      </w:pPr>
      <w:r>
        <w:rPr>
          <w:rFonts w:ascii="Arial" w:hAnsi="Arial" w:eastAsia="宋体"/>
          <w:b/>
          <w:bCs/>
          <w:sz w:val="24"/>
          <w:lang w:val="en-GB" w:eastAsia="ja-JP"/>
        </w:rPr>
        <w:t>3GPP T</w:t>
      </w:r>
      <w:bookmarkStart w:id="0" w:name="_Ref452454252"/>
      <w:bookmarkEnd w:id="0"/>
      <w:r>
        <w:rPr>
          <w:rFonts w:ascii="Arial" w:hAnsi="Arial" w:eastAsia="宋体"/>
          <w:b/>
          <w:bCs/>
          <w:sz w:val="24"/>
          <w:lang w:val="en-GB" w:eastAsia="ja-JP"/>
        </w:rPr>
        <w:t>SG-RAN WG2 Meeting #11</w:t>
      </w:r>
      <w:r>
        <w:rPr>
          <w:rFonts w:hint="eastAsia" w:ascii="Arial" w:hAnsi="Arial" w:eastAsia="宋体"/>
          <w:b/>
          <w:bCs/>
          <w:sz w:val="24"/>
        </w:rPr>
        <w:t>7</w:t>
      </w:r>
      <w:r>
        <w:rPr>
          <w:rFonts w:ascii="Arial" w:hAnsi="Arial" w:eastAsia="宋体"/>
          <w:b/>
          <w:bCs/>
          <w:sz w:val="24"/>
          <w:lang w:val="en-GB" w:eastAsia="ja-JP"/>
        </w:rPr>
        <w:t>-e</w:t>
      </w:r>
      <w:r>
        <w:rPr>
          <w:rFonts w:ascii="Arial" w:hAnsi="Arial" w:eastAsia="宋体"/>
          <w:b/>
          <w:bCs/>
          <w:sz w:val="24"/>
          <w:lang w:val="en-GB" w:eastAsia="ja-JP"/>
        </w:rPr>
        <w:tab/>
      </w:r>
      <w:r>
        <w:rPr>
          <w:rFonts w:hint="eastAsia" w:ascii="Arial" w:hAnsi="Arial" w:eastAsia="宋体"/>
          <w:b/>
          <w:bCs/>
          <w:sz w:val="24"/>
          <w:lang w:val="en-GB" w:eastAsia="ja-JP"/>
        </w:rPr>
        <w:t>R2-22</w:t>
      </w:r>
      <w:r>
        <w:rPr>
          <w:rFonts w:hint="eastAsia" w:ascii="Arial" w:hAnsi="Arial" w:eastAsia="宋体"/>
          <w:b/>
          <w:bCs/>
          <w:sz w:val="24"/>
          <w:lang w:val="en-US" w:eastAsia="zh-CN"/>
        </w:rPr>
        <w:t>02825</w:t>
      </w:r>
    </w:p>
    <w:p>
      <w:pPr>
        <w:tabs>
          <w:tab w:val="right" w:pos="9639"/>
        </w:tabs>
        <w:overflowPunct w:val="0"/>
        <w:autoSpaceDE w:val="0"/>
        <w:autoSpaceDN w:val="0"/>
        <w:adjustRightInd w:val="0"/>
        <w:textAlignment w:val="baseline"/>
        <w:rPr>
          <w:rFonts w:ascii="Arial" w:hAnsi="Arial" w:eastAsia="宋体"/>
          <w:b/>
          <w:bCs/>
          <w:sz w:val="24"/>
          <w:lang w:val="en-GB"/>
        </w:rPr>
      </w:pPr>
      <w:r>
        <w:rPr>
          <w:rFonts w:ascii="Arial" w:hAnsi="Arial" w:eastAsia="宋体"/>
          <w:b/>
          <w:bCs/>
          <w:sz w:val="24"/>
          <w:lang w:val="en-GB"/>
        </w:rPr>
        <w:t xml:space="preserve">Online, </w:t>
      </w:r>
      <w:r>
        <w:rPr>
          <w:rFonts w:hint="eastAsia" w:ascii="Arial" w:hAnsi="Arial" w:eastAsia="宋体"/>
          <w:b/>
          <w:bCs/>
          <w:sz w:val="24"/>
        </w:rPr>
        <w:t>Feb</w:t>
      </w:r>
      <w:r>
        <w:rPr>
          <w:rFonts w:ascii="Arial" w:hAnsi="Arial" w:eastAsia="宋体"/>
          <w:b/>
          <w:bCs/>
          <w:sz w:val="24"/>
          <w:lang w:val="en-GB"/>
        </w:rPr>
        <w:t xml:space="preserve"> </w:t>
      </w:r>
      <w:r>
        <w:rPr>
          <w:rFonts w:hint="eastAsia" w:ascii="Arial" w:hAnsi="Arial" w:eastAsia="宋体"/>
          <w:b/>
          <w:bCs/>
          <w:sz w:val="24"/>
        </w:rPr>
        <w:t>21</w:t>
      </w:r>
      <w:r>
        <w:rPr>
          <w:rFonts w:ascii="Arial" w:hAnsi="Arial" w:eastAsia="宋体"/>
          <w:b/>
          <w:bCs/>
          <w:sz w:val="24"/>
          <w:vertAlign w:val="superscript"/>
          <w:lang w:val="en-GB"/>
        </w:rPr>
        <w:t>t</w:t>
      </w:r>
      <w:r>
        <w:rPr>
          <w:rFonts w:hint="eastAsia" w:ascii="Arial" w:hAnsi="Arial" w:eastAsia="宋体"/>
          <w:b/>
          <w:bCs/>
          <w:sz w:val="24"/>
          <w:vertAlign w:val="superscript"/>
        </w:rPr>
        <w:t>h</w:t>
      </w:r>
      <w:r>
        <w:rPr>
          <w:rFonts w:ascii="Arial" w:hAnsi="Arial" w:eastAsia="宋体"/>
          <w:b/>
          <w:bCs/>
          <w:sz w:val="24"/>
          <w:lang w:val="en-GB"/>
        </w:rPr>
        <w:t xml:space="preserve"> – </w:t>
      </w:r>
      <w:r>
        <w:rPr>
          <w:rFonts w:hint="eastAsia" w:ascii="Arial" w:hAnsi="Arial" w:eastAsia="宋体"/>
          <w:b/>
          <w:bCs/>
          <w:sz w:val="24"/>
        </w:rPr>
        <w:t>Mar</w:t>
      </w:r>
      <w:r>
        <w:rPr>
          <w:rFonts w:ascii="Arial" w:hAnsi="Arial" w:eastAsia="宋体"/>
          <w:b/>
          <w:bCs/>
          <w:sz w:val="24"/>
          <w:lang w:val="en-GB"/>
        </w:rPr>
        <w:t xml:space="preserve"> </w:t>
      </w:r>
      <w:r>
        <w:rPr>
          <w:rFonts w:hint="eastAsia" w:ascii="Arial" w:hAnsi="Arial" w:eastAsia="宋体"/>
          <w:b/>
          <w:bCs/>
          <w:sz w:val="24"/>
        </w:rPr>
        <w:t>3</w:t>
      </w:r>
      <w:r>
        <w:rPr>
          <w:rFonts w:hint="eastAsia" w:ascii="Arial" w:hAnsi="Arial" w:eastAsia="宋体"/>
          <w:b/>
          <w:bCs/>
          <w:sz w:val="24"/>
          <w:vertAlign w:val="superscript"/>
        </w:rPr>
        <w:t>rd</w:t>
      </w:r>
      <w:r>
        <w:rPr>
          <w:rFonts w:ascii="Arial" w:hAnsi="Arial" w:eastAsia="宋体"/>
          <w:b/>
          <w:bCs/>
          <w:sz w:val="24"/>
          <w:lang w:val="en-GB"/>
        </w:rPr>
        <w:t>, 202</w:t>
      </w:r>
      <w:r>
        <w:rPr>
          <w:rFonts w:hint="eastAsia" w:ascii="Arial" w:hAnsi="Arial" w:eastAsia="宋体"/>
          <w:b/>
          <w:bCs/>
          <w:sz w:val="24"/>
        </w:rPr>
        <w:t>2</w:t>
      </w:r>
    </w:p>
    <w:p>
      <w:pPr>
        <w:overflowPunct w:val="0"/>
        <w:autoSpaceDE w:val="0"/>
        <w:autoSpaceDN w:val="0"/>
        <w:adjustRightInd w:val="0"/>
        <w:snapToGrid w:val="0"/>
        <w:jc w:val="left"/>
        <w:textAlignment w:val="baseline"/>
        <w:rPr>
          <w:rFonts w:ascii="Arial" w:hAnsi="Arial"/>
          <w:b/>
          <w:sz w:val="24"/>
          <w:lang w:val="en-GB"/>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Remaining issues on CPAC from UE perspective</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hint="eastAsia" w:ascii="Arial" w:hAnsi="Arial" w:cs="Arial"/>
          <w:b/>
          <w:bCs/>
          <w:snapToGrid w:val="0"/>
          <w:kern w:val="0"/>
          <w:sz w:val="24"/>
        </w:rPr>
        <w:tab/>
      </w:r>
      <w:r>
        <w:rPr>
          <w:rFonts w:hint="eastAsia" w:ascii="Arial" w:hAnsi="Arial" w:cs="Arial"/>
          <w:b/>
          <w:bCs/>
          <w:snapToGrid w:val="0"/>
          <w:kern w:val="0"/>
          <w:sz w:val="24"/>
        </w:rPr>
        <w:t>8.2.3.2</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before="120" w:after="0"/>
        <w:rPr>
          <w:lang w:eastAsia="en-GB"/>
        </w:rPr>
      </w:pPr>
      <w:bookmarkStart w:id="3" w:name="OLE_LINK1"/>
      <w:r>
        <w:rPr>
          <w:rFonts w:hint="eastAsia"/>
        </w:rPr>
        <w:t>At last meeting, we collected list of open issues on CPAC in [1]. In this contribution, we discussed some remaining issues on CPAC from UE perspective.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Discussion</w:t>
      </w:r>
    </w:p>
    <w:bookmarkEnd w:id="3"/>
    <w:p>
      <w:pPr>
        <w:pStyle w:val="3"/>
        <w:numPr>
          <w:ilvl w:val="1"/>
          <w:numId w:val="0"/>
        </w:numPr>
        <w:rPr>
          <w:bCs/>
          <w:iCs/>
          <w:sz w:val="21"/>
          <w:szCs w:val="21"/>
          <w:lang w:val="en-US"/>
        </w:rPr>
      </w:pPr>
      <w:r>
        <w:rPr>
          <w:rFonts w:hint="eastAsia"/>
          <w:lang w:val="en-US"/>
        </w:rPr>
        <w:t>2.1</w:t>
      </w:r>
      <w:r>
        <w:rPr>
          <w:lang w:val="en-US"/>
        </w:rPr>
        <w:t xml:space="preserve"> </w:t>
      </w:r>
      <w:r>
        <w:rPr>
          <w:rFonts w:hint="eastAsia"/>
          <w:lang w:val="en-US"/>
        </w:rPr>
        <w:t>Coexistence of CPAC and SCG deactivation</w:t>
      </w:r>
    </w:p>
    <w:p>
      <w:pPr>
        <w:adjustRightInd w:val="0"/>
        <w:snapToGrid w:val="0"/>
        <w:spacing w:line="260" w:lineRule="auto"/>
        <w:rPr>
          <w:bCs/>
          <w:iCs/>
          <w:szCs w:val="21"/>
        </w:rPr>
      </w:pPr>
      <w:r>
        <w:rPr>
          <w:rFonts w:hint="eastAsia"/>
          <w:bCs/>
          <w:iCs/>
          <w:szCs w:val="21"/>
        </w:rPr>
        <w:t xml:space="preserve">In Rel-17, CPAC and Efficient activation/deactivation on one SCG are discussed separately. CPAC is used for fast DC setup/change, while SCG deactivation aims to save power consumption at the UE side and </w:t>
      </w:r>
      <w:r>
        <w:rPr>
          <w:bCs/>
          <w:iCs/>
          <w:szCs w:val="21"/>
        </w:rPr>
        <w:t xml:space="preserve">the </w:t>
      </w:r>
      <w:r>
        <w:rPr>
          <w:rFonts w:hint="eastAsia"/>
          <w:bCs/>
          <w:iCs/>
          <w:szCs w:val="21"/>
        </w:rPr>
        <w:t>NW side. S</w:t>
      </w:r>
      <w:r>
        <w:rPr>
          <w:bCs/>
          <w:iCs/>
          <w:szCs w:val="21"/>
        </w:rPr>
        <w:t>ince these two features are related to different aspects,</w:t>
      </w:r>
      <w:r>
        <w:rPr>
          <w:rFonts w:hint="eastAsia"/>
          <w:bCs/>
          <w:iCs/>
          <w:szCs w:val="21"/>
        </w:rPr>
        <w:t xml:space="preserve"> it makes sense to support the coexistence of </w:t>
      </w:r>
      <w:r>
        <w:rPr>
          <w:bCs/>
          <w:iCs/>
          <w:szCs w:val="21"/>
        </w:rPr>
        <w:t>CPAC and SCG deactivation</w:t>
      </w:r>
      <w:r>
        <w:rPr>
          <w:rFonts w:hint="eastAsia"/>
          <w:bCs/>
          <w:iCs/>
          <w:szCs w:val="21"/>
        </w:rPr>
        <w:t>.</w:t>
      </w:r>
    </w:p>
    <w:p>
      <w:pPr>
        <w:adjustRightInd w:val="0"/>
        <w:snapToGrid w:val="0"/>
        <w:spacing w:line="260" w:lineRule="auto"/>
        <w:rPr>
          <w:b/>
          <w:iCs/>
          <w:szCs w:val="21"/>
        </w:rPr>
      </w:pPr>
      <w:r>
        <w:rPr>
          <w:rFonts w:hint="eastAsia"/>
          <w:b/>
          <w:iCs/>
          <w:szCs w:val="21"/>
        </w:rPr>
        <w:t>Proposal 1: RAN2 supports the coexistence of CPAC and SCG deactivation.</w:t>
      </w:r>
    </w:p>
    <w:p>
      <w:pPr>
        <w:adjustRightInd w:val="0"/>
        <w:snapToGrid w:val="0"/>
        <w:spacing w:line="260" w:lineRule="auto"/>
        <w:rPr>
          <w:bCs/>
          <w:iCs/>
          <w:szCs w:val="21"/>
        </w:rPr>
      </w:pPr>
      <w:r>
        <w:rPr>
          <w:rFonts w:hint="eastAsia"/>
          <w:bCs/>
          <w:iCs/>
          <w:szCs w:val="21"/>
        </w:rPr>
        <w:t>At RAN2#112_e meeting, the following agreement was made for SCG deactivation [</w:t>
      </w:r>
      <w:r>
        <w:rPr>
          <w:bCs/>
          <w:iCs/>
          <w:szCs w:val="21"/>
        </w:rPr>
        <w:t>2</w:t>
      </w:r>
      <w:r>
        <w:rPr>
          <w:rFonts w:hint="eastAsia"/>
          <w:bCs/>
          <w:iCs/>
          <w:szCs w:val="21"/>
        </w:rPr>
        <w:t>]:</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pStyle w:val="285"/>
              <w:numPr>
                <w:ilvl w:val="0"/>
                <w:numId w:val="4"/>
              </w:numPr>
              <w:spacing w:after="120"/>
              <w:ind w:left="400" w:leftChars="0" w:hanging="400"/>
              <w:jc w:val="left"/>
              <w:rPr>
                <w:rFonts w:ascii="Times New Roman" w:hAnsi="Times New Roman"/>
                <w:color w:val="000000"/>
                <w:sz w:val="20"/>
                <w:szCs w:val="20"/>
              </w:rPr>
            </w:pPr>
            <w:r>
              <w:rPr>
                <w:rFonts w:ascii="Times New Roman" w:hAnsi="Times New Roman"/>
                <w:color w:val="000000"/>
                <w:sz w:val="20"/>
                <w:szCs w:val="20"/>
              </w:rPr>
              <w:t>SCG RRC reconfiguration can select the SCG activation state (activated/deactivated) at PSCell addition/change, RRC resume or HO</w:t>
            </w:r>
          </w:p>
          <w:p>
            <w:pPr>
              <w:pStyle w:val="285"/>
              <w:numPr>
                <w:ilvl w:val="0"/>
                <w:numId w:val="4"/>
              </w:numPr>
              <w:spacing w:after="120"/>
              <w:ind w:leftChars="0"/>
              <w:jc w:val="left"/>
              <w:rPr>
                <w:rFonts w:ascii="Times New Roman" w:hAnsi="Times New Roman"/>
                <w:color w:val="000000"/>
                <w:sz w:val="20"/>
                <w:szCs w:val="20"/>
              </w:rPr>
            </w:pPr>
            <w:r>
              <w:rPr>
                <w:rFonts w:ascii="Times New Roman" w:hAnsi="Times New Roman"/>
                <w:color w:val="000000"/>
                <w:sz w:val="20"/>
                <w:szCs w:val="20"/>
              </w:rPr>
              <w:t xml:space="preserve">After the session closed, Samsung commented offline that the agreement 1 is not clear and its intention was as follows: </w:t>
            </w:r>
          </w:p>
          <w:p>
            <w:pPr>
              <w:pStyle w:val="285"/>
              <w:numPr>
                <w:ilvl w:val="1"/>
                <w:numId w:val="4"/>
              </w:numPr>
              <w:spacing w:after="120"/>
              <w:ind w:leftChars="0"/>
              <w:jc w:val="left"/>
              <w:rPr>
                <w:rFonts w:ascii="Times New Roman" w:hAnsi="Times New Roman"/>
                <w:color w:val="000000"/>
                <w:sz w:val="20"/>
                <w:szCs w:val="20"/>
                <w:highlight w:val="yellow"/>
              </w:rPr>
            </w:pPr>
            <w:r>
              <w:rPr>
                <w:rFonts w:ascii="Times New Roman" w:hAnsi="Times New Roman"/>
                <w:color w:val="000000"/>
                <w:sz w:val="20"/>
                <w:szCs w:val="20"/>
                <w:highlight w:val="yellow"/>
              </w:rPr>
              <w:t>SCG activation state (activated/deactivated) can be configured at PSCell addition/change, RRC resume or HO.</w:t>
            </w:r>
          </w:p>
          <w:p>
            <w:pPr>
              <w:pStyle w:val="285"/>
              <w:numPr>
                <w:ilvl w:val="0"/>
                <w:numId w:val="4"/>
              </w:numPr>
              <w:spacing w:after="120"/>
              <w:ind w:leftChars="0"/>
              <w:jc w:val="left"/>
              <w:rPr>
                <w:rFonts w:hint="eastAsia" w:ascii="Times New Roman" w:hAnsi="Times New Roman"/>
                <w:color w:val="000000"/>
                <w:sz w:val="20"/>
                <w:szCs w:val="20"/>
              </w:rPr>
            </w:pPr>
            <w:r>
              <w:rPr>
                <w:rFonts w:ascii="Times New Roman" w:hAnsi="Times New Roman"/>
                <w:color w:val="000000"/>
                <w:sz w:val="20"/>
                <w:szCs w:val="20"/>
              </w:rPr>
              <w:t xml:space="preserve">The WI rapporteur (Huawei) indicated this was the intention, so this wording is recommended to clarify the meaning of the original agreement 1 above. </w:t>
            </w:r>
          </w:p>
        </w:tc>
      </w:tr>
    </w:tbl>
    <w:p>
      <w:pPr>
        <w:adjustRightInd w:val="0"/>
        <w:snapToGrid w:val="0"/>
        <w:spacing w:line="260" w:lineRule="auto"/>
        <w:rPr>
          <w:bCs/>
          <w:iCs/>
          <w:szCs w:val="21"/>
        </w:rPr>
      </w:pPr>
      <w:r>
        <w:rPr>
          <w:bCs/>
          <w:iCs/>
          <w:szCs w:val="21"/>
        </w:rPr>
        <w:t>According to the agreement, SCG activation state (activated/deactivated) can be configured at PSCell addition/change. Since CPAC is considered as one type of PSCell addition/change, it is natural to support configuring SCG activation state in the CPAC configuration.</w:t>
      </w:r>
    </w:p>
    <w:p>
      <w:pPr>
        <w:adjustRightInd w:val="0"/>
        <w:snapToGrid w:val="0"/>
        <w:spacing w:line="260" w:lineRule="auto"/>
        <w:rPr>
          <w:bCs/>
          <w:i/>
          <w:iCs/>
          <w:szCs w:val="21"/>
        </w:rPr>
      </w:pPr>
      <w:r>
        <w:rPr>
          <w:bCs/>
          <w:i/>
          <w:iCs/>
          <w:szCs w:val="21"/>
        </w:rPr>
        <w:t>Observation 1: SCG activation state (activated/deactivated) can be configured at PSCell addition/change.</w:t>
      </w:r>
    </w:p>
    <w:p>
      <w:pPr>
        <w:adjustRightInd w:val="0"/>
        <w:snapToGrid w:val="0"/>
        <w:spacing w:line="260" w:lineRule="auto"/>
        <w:rPr>
          <w:bCs/>
          <w:iCs/>
          <w:szCs w:val="21"/>
        </w:rPr>
      </w:pPr>
      <w:r>
        <w:rPr>
          <w:bCs/>
          <w:iCs/>
          <w:szCs w:val="21"/>
        </w:rPr>
        <w:t>Besides, it’s agreed that “</w:t>
      </w:r>
      <w:r>
        <w:rPr>
          <w:bCs/>
          <w:i/>
          <w:iCs/>
          <w:szCs w:val="21"/>
        </w:rPr>
        <w:t>Only the MN can generate an RRC message with SCG (de)activation.</w:t>
      </w:r>
      <w:r>
        <w:rPr>
          <w:bCs/>
          <w:iCs/>
          <w:szCs w:val="21"/>
        </w:rPr>
        <w:t xml:space="preserve">” [3]. In Rel-17 CPAC, it is up to the MN generate the final RRC message for CPAC. Thus, SCG activation state can be configured in the MN </w:t>
      </w:r>
      <w:r>
        <w:rPr>
          <w:bCs/>
          <w:i/>
          <w:iCs/>
          <w:szCs w:val="21"/>
        </w:rPr>
        <w:t>RRC(Connection)Reconfiguration</w:t>
      </w:r>
      <w:r>
        <w:rPr>
          <w:bCs/>
          <w:iCs/>
          <w:szCs w:val="21"/>
        </w:rPr>
        <w:t xml:space="preserve"> within </w:t>
      </w:r>
      <w:r>
        <w:rPr>
          <w:bCs/>
          <w:i/>
          <w:iCs/>
          <w:szCs w:val="21"/>
        </w:rPr>
        <w:t>conditionalReconfiguration</w:t>
      </w:r>
      <w:r>
        <w:rPr>
          <w:bCs/>
          <w:iCs/>
          <w:szCs w:val="21"/>
        </w:rPr>
        <w:t>. And the current RRC running CR on SCG deactivation [4] has supported this, so no extra spec work is required.</w:t>
      </w:r>
    </w:p>
    <w:p>
      <w:pPr>
        <w:adjustRightInd w:val="0"/>
        <w:snapToGrid w:val="0"/>
        <w:spacing w:line="260" w:lineRule="auto"/>
        <w:rPr>
          <w:bCs/>
          <w:i/>
          <w:iCs/>
          <w:szCs w:val="21"/>
        </w:rPr>
      </w:pPr>
      <w:r>
        <w:rPr>
          <w:bCs/>
          <w:i/>
          <w:iCs/>
          <w:szCs w:val="21"/>
        </w:rPr>
        <w:t>Observation 2: Only the MN can generate an RRC message with SCG (de)activation.</w:t>
      </w:r>
    </w:p>
    <w:p>
      <w:pPr>
        <w:adjustRightInd w:val="0"/>
        <w:snapToGrid w:val="0"/>
        <w:spacing w:line="260" w:lineRule="auto"/>
        <w:rPr>
          <w:b/>
          <w:bCs/>
          <w:iCs/>
          <w:szCs w:val="21"/>
        </w:rPr>
      </w:pPr>
      <w:r>
        <w:rPr>
          <w:rFonts w:hint="eastAsia"/>
          <w:b/>
          <w:bCs/>
          <w:iCs/>
          <w:szCs w:val="21"/>
        </w:rPr>
        <w:t>P</w:t>
      </w:r>
      <w:r>
        <w:rPr>
          <w:b/>
          <w:bCs/>
          <w:iCs/>
          <w:szCs w:val="21"/>
        </w:rPr>
        <w:t xml:space="preserve">roposal 2: SCG activation state (activated/deactivated) can be configured at CPAC, i.e. in the MN </w:t>
      </w:r>
      <w:r>
        <w:rPr>
          <w:b/>
          <w:bCs/>
          <w:i/>
          <w:iCs/>
          <w:szCs w:val="21"/>
        </w:rPr>
        <w:t>RRC(Connection)Reconfiguration</w:t>
      </w:r>
      <w:r>
        <w:rPr>
          <w:b/>
          <w:bCs/>
          <w:iCs/>
          <w:szCs w:val="21"/>
        </w:rPr>
        <w:t xml:space="preserve"> within </w:t>
      </w:r>
      <w:r>
        <w:rPr>
          <w:b/>
          <w:bCs/>
          <w:i/>
          <w:iCs/>
          <w:szCs w:val="21"/>
        </w:rPr>
        <w:t>conditionalReconfiguration</w:t>
      </w:r>
      <w:r>
        <w:rPr>
          <w:b/>
          <w:bCs/>
          <w:iCs/>
          <w:szCs w:val="21"/>
        </w:rPr>
        <w:t>.</w:t>
      </w:r>
    </w:p>
    <w:p>
      <w:pPr>
        <w:adjustRightInd w:val="0"/>
        <w:snapToGrid w:val="0"/>
        <w:spacing w:line="260" w:lineRule="auto"/>
        <w:rPr>
          <w:bCs/>
          <w:iCs/>
          <w:szCs w:val="21"/>
        </w:rPr>
      </w:pPr>
      <w:r>
        <w:rPr>
          <w:bCs/>
          <w:iCs/>
          <w:szCs w:val="21"/>
        </w:rPr>
        <w:t xml:space="preserve">In normal CPC (i.e. SCG is activated), if at least one CPC candidate PSCell satisfies the corresponding CPC execution condition, the UE triggers the execution of CPC. Then the UE stops the evaluation of CPC, applies the stored configuration corresponding to the selected candidate PSCell and synchronizes to the candidate PSCell, i.e. </w:t>
      </w:r>
      <w:r>
        <w:rPr>
          <w:rFonts w:hint="eastAsia"/>
          <w:bCs/>
          <w:iCs/>
          <w:szCs w:val="21"/>
          <w:lang w:val="en-US" w:eastAsia="zh-CN"/>
        </w:rPr>
        <w:t>perform</w:t>
      </w:r>
      <w:r>
        <w:rPr>
          <w:bCs/>
          <w:iCs/>
          <w:szCs w:val="21"/>
        </w:rPr>
        <w:t xml:space="preserve">s RACH to the target PSCell. However, in case that the current SCG is in deactivated state, it is not clear whether the execution of CPC shall also be triggered. There are several options can be considered in case that </w:t>
      </w:r>
      <w:r>
        <w:rPr>
          <w:rFonts w:hint="eastAsia"/>
          <w:bCs/>
          <w:iCs/>
          <w:szCs w:val="21"/>
          <w:lang w:val="en-US" w:eastAsia="zh-CN"/>
        </w:rPr>
        <w:t xml:space="preserve">the </w:t>
      </w:r>
      <w:r>
        <w:rPr>
          <w:bCs/>
          <w:iCs/>
          <w:szCs w:val="21"/>
        </w:rPr>
        <w:t xml:space="preserve">CPC </w:t>
      </w:r>
      <w:r>
        <w:rPr>
          <w:rFonts w:hint="eastAsia"/>
          <w:bCs/>
          <w:iCs/>
          <w:szCs w:val="21"/>
          <w:lang w:val="en-US" w:eastAsia="zh-CN"/>
        </w:rPr>
        <w:t>execution condition(s) is met</w:t>
      </w:r>
      <w:r>
        <w:rPr>
          <w:bCs/>
          <w:iCs/>
          <w:szCs w:val="21"/>
        </w:rPr>
        <w:t xml:space="preserve"> while SCG is deactivated SCG:</w:t>
      </w:r>
    </w:p>
    <w:p>
      <w:pPr>
        <w:pStyle w:val="284"/>
        <w:numPr>
          <w:ilvl w:val="0"/>
          <w:numId w:val="5"/>
        </w:numPr>
        <w:adjustRightInd w:val="0"/>
        <w:snapToGrid w:val="0"/>
        <w:spacing w:line="260" w:lineRule="auto"/>
        <w:ind w:firstLineChars="0"/>
        <w:rPr>
          <w:bCs/>
          <w:iCs/>
          <w:szCs w:val="21"/>
        </w:rPr>
      </w:pPr>
      <w:r>
        <w:rPr>
          <w:bCs/>
          <w:iCs/>
          <w:szCs w:val="21"/>
        </w:rPr>
        <w:t xml:space="preserve">Option 1: the UE triggers the execution of CPC, i.e. applies the corresponding candidate PSCell configuration and </w:t>
      </w:r>
      <w:r>
        <w:rPr>
          <w:rFonts w:hint="eastAsia"/>
          <w:bCs/>
          <w:iCs/>
          <w:szCs w:val="21"/>
          <w:lang w:val="en-US" w:eastAsia="zh-CN"/>
        </w:rPr>
        <w:t>performs</w:t>
      </w:r>
      <w:r>
        <w:rPr>
          <w:bCs/>
          <w:iCs/>
          <w:szCs w:val="21"/>
        </w:rPr>
        <w:t xml:space="preserve"> RACH to the target PSCell.</w:t>
      </w:r>
    </w:p>
    <w:p>
      <w:pPr>
        <w:pStyle w:val="284"/>
        <w:numPr>
          <w:ilvl w:val="0"/>
          <w:numId w:val="5"/>
        </w:numPr>
        <w:adjustRightInd w:val="0"/>
        <w:snapToGrid w:val="0"/>
        <w:spacing w:line="260" w:lineRule="auto"/>
        <w:ind w:firstLineChars="0"/>
        <w:rPr>
          <w:bCs/>
          <w:iCs/>
          <w:szCs w:val="21"/>
        </w:rPr>
      </w:pPr>
      <w:r>
        <w:rPr>
          <w:bCs/>
          <w:iCs/>
          <w:szCs w:val="21"/>
        </w:rPr>
        <w:t xml:space="preserve">Option 2: the UE applies the corresponding candidate PSCell configuration, but </w:t>
      </w:r>
      <w:r>
        <w:rPr>
          <w:rFonts w:hint="eastAsia"/>
          <w:bCs/>
          <w:iCs/>
          <w:szCs w:val="21"/>
          <w:lang w:val="en-US" w:eastAsia="zh-CN"/>
        </w:rPr>
        <w:t xml:space="preserve">does </w:t>
      </w:r>
      <w:r>
        <w:rPr>
          <w:bCs/>
          <w:iCs/>
          <w:szCs w:val="21"/>
        </w:rPr>
        <w:t xml:space="preserve">not </w:t>
      </w:r>
      <w:r>
        <w:rPr>
          <w:rFonts w:hint="eastAsia"/>
          <w:bCs/>
          <w:iCs/>
          <w:szCs w:val="21"/>
          <w:lang w:val="en-US" w:eastAsia="zh-CN"/>
        </w:rPr>
        <w:t>perform</w:t>
      </w:r>
      <w:r>
        <w:rPr>
          <w:bCs/>
          <w:iCs/>
          <w:szCs w:val="21"/>
        </w:rPr>
        <w:t xml:space="preserve"> RACH to the target PSCell until SCG is activated.</w:t>
      </w:r>
    </w:p>
    <w:p>
      <w:pPr>
        <w:pStyle w:val="284"/>
        <w:numPr>
          <w:ilvl w:val="0"/>
          <w:numId w:val="5"/>
        </w:numPr>
        <w:adjustRightInd w:val="0"/>
        <w:snapToGrid w:val="0"/>
        <w:spacing w:line="260" w:lineRule="auto"/>
        <w:ind w:firstLineChars="0"/>
        <w:rPr>
          <w:rFonts w:hint="eastAsia"/>
          <w:bCs/>
          <w:iCs/>
          <w:szCs w:val="21"/>
        </w:rPr>
      </w:pPr>
      <w:r>
        <w:rPr>
          <w:bCs/>
          <w:iCs/>
          <w:szCs w:val="21"/>
        </w:rPr>
        <w:t xml:space="preserve">Option 3: the UE does not trigger the execution of CPC, i.e. triggers the execution of CPC only when SCG is activated. </w:t>
      </w:r>
    </w:p>
    <w:p>
      <w:pPr>
        <w:adjustRightInd w:val="0"/>
        <w:snapToGrid w:val="0"/>
        <w:spacing w:line="260" w:lineRule="auto"/>
        <w:rPr>
          <w:bCs/>
          <w:iCs/>
          <w:szCs w:val="21"/>
        </w:rPr>
      </w:pPr>
      <w:r>
        <w:rPr>
          <w:rFonts w:hint="eastAsia"/>
          <w:bCs/>
          <w:iCs/>
          <w:szCs w:val="21"/>
          <w:lang w:val="en-US" w:eastAsia="zh-CN"/>
        </w:rPr>
        <w:t xml:space="preserve">Since </w:t>
      </w:r>
      <w:r>
        <w:rPr>
          <w:bCs/>
          <w:iCs/>
          <w:szCs w:val="21"/>
        </w:rPr>
        <w:t>it’s agreed that “</w:t>
      </w:r>
      <w:r>
        <w:rPr>
          <w:bCs/>
          <w:i/>
          <w:iCs/>
          <w:szCs w:val="21"/>
        </w:rPr>
        <w:t>At PSCell addition/change/HO/RRC resume, in case the SCG state is configured as deactivated, the UE does not perform random access.</w:t>
      </w:r>
      <w:r>
        <w:rPr>
          <w:bCs/>
          <w:iCs/>
          <w:szCs w:val="21"/>
        </w:rPr>
        <w:t xml:space="preserve">” </w:t>
      </w:r>
      <w:r>
        <w:rPr>
          <w:rFonts w:hint="eastAsia"/>
          <w:bCs/>
          <w:iCs/>
          <w:szCs w:val="21"/>
          <w:lang w:val="en-US" w:eastAsia="zh-CN"/>
        </w:rPr>
        <w:t>a</w:t>
      </w:r>
      <w:r>
        <w:rPr>
          <w:bCs/>
          <w:iCs/>
          <w:szCs w:val="21"/>
        </w:rPr>
        <w:t>t RAN2#116-e meeting</w:t>
      </w:r>
      <w:r>
        <w:rPr>
          <w:rFonts w:hint="eastAsia"/>
          <w:bCs/>
          <w:iCs/>
          <w:szCs w:val="21"/>
          <w:lang w:val="en-US" w:eastAsia="zh-CN"/>
        </w:rPr>
        <w:t xml:space="preserve"> </w:t>
      </w:r>
      <w:r>
        <w:rPr>
          <w:bCs/>
          <w:iCs/>
          <w:szCs w:val="21"/>
        </w:rPr>
        <w:t>[5]</w:t>
      </w:r>
      <w:r>
        <w:rPr>
          <w:rFonts w:hint="eastAsia"/>
          <w:bCs/>
          <w:iCs/>
          <w:szCs w:val="21"/>
          <w:lang w:val="en-US" w:eastAsia="zh-CN"/>
        </w:rPr>
        <w:t>,</w:t>
      </w:r>
      <w:r>
        <w:rPr>
          <w:bCs/>
          <w:iCs/>
          <w:szCs w:val="21"/>
        </w:rPr>
        <w:t xml:space="preserve"> CPC should follow the same principle, i.e. the UE does not perform RACH procedure in case </w:t>
      </w:r>
      <w:r>
        <w:rPr>
          <w:rFonts w:hint="eastAsia"/>
          <w:bCs/>
          <w:iCs/>
          <w:szCs w:val="21"/>
          <w:lang w:val="en-US" w:eastAsia="zh-CN"/>
        </w:rPr>
        <w:t xml:space="preserve">that </w:t>
      </w:r>
      <w:r>
        <w:rPr>
          <w:bCs/>
          <w:iCs/>
          <w:szCs w:val="21"/>
        </w:rPr>
        <w:t xml:space="preserve">SCG is deactivated. Thus option 1 is not preferred. </w:t>
      </w:r>
    </w:p>
    <w:p>
      <w:pPr>
        <w:adjustRightInd w:val="0"/>
        <w:snapToGrid w:val="0"/>
        <w:spacing w:line="260" w:lineRule="auto"/>
        <w:rPr>
          <w:bCs/>
          <w:iCs/>
          <w:szCs w:val="21"/>
        </w:rPr>
      </w:pPr>
      <w:r>
        <w:rPr>
          <w:bCs/>
          <w:i/>
          <w:iCs/>
          <w:szCs w:val="21"/>
        </w:rPr>
        <w:t>Observation 3:</w:t>
      </w:r>
      <w:r>
        <w:t xml:space="preserve"> </w:t>
      </w:r>
      <w:r>
        <w:rPr>
          <w:bCs/>
          <w:i/>
          <w:iCs/>
          <w:szCs w:val="21"/>
        </w:rPr>
        <w:t>At PSCell addition/change, in case the SCG state is configured as deactivated, the UE does not perform random access. The same principle should also be applicable to CPAC.</w:t>
      </w:r>
    </w:p>
    <w:p>
      <w:pPr>
        <w:adjustRightInd w:val="0"/>
        <w:snapToGrid w:val="0"/>
        <w:spacing w:line="260" w:lineRule="auto"/>
        <w:rPr>
          <w:bCs/>
          <w:iCs/>
          <w:szCs w:val="21"/>
        </w:rPr>
      </w:pPr>
      <w:r>
        <w:rPr>
          <w:bCs/>
          <w:iCs/>
          <w:szCs w:val="21"/>
        </w:rPr>
        <w:t xml:space="preserve">For option 2, it is similar to the handling for normal PSCell change, i.e. the UE applies the new configuration upon reception of PSCell change command but does not perform RACH if SCG is deactivated. However, we should further consider whether the UE needs to continue evaluating the execution condition(s) for other candidate PSCells? If the UE stops the CPC evaluation, the selected candidate cell may be not the best cell </w:t>
      </w:r>
      <w:r>
        <w:rPr>
          <w:rFonts w:hint="eastAsia"/>
          <w:bCs/>
          <w:iCs/>
          <w:szCs w:val="21"/>
          <w:lang w:val="en-US" w:eastAsia="zh-CN"/>
        </w:rPr>
        <w:t xml:space="preserve">for change </w:t>
      </w:r>
      <w:r>
        <w:rPr>
          <w:bCs/>
          <w:iCs/>
          <w:szCs w:val="21"/>
        </w:rPr>
        <w:t xml:space="preserve">when the SCG is activated again. For example, with the movement of UE, the quality of selected candidate cell may become not good enough for PSCell change, which may cause the random access failure when the SCG is activated again. And whether other stored candidate PSCell configurations to be removed should also be considered. On the other hand, if the UE continues the CPC evaluation, the UE may evaluate that another candidate PSCell is satisfied after applying one candidate PSCell configuration. Then whether the UE </w:t>
      </w:r>
      <w:r>
        <w:rPr>
          <w:rFonts w:hint="eastAsia"/>
          <w:bCs/>
          <w:iCs/>
          <w:szCs w:val="21"/>
          <w:lang w:val="en-US" w:eastAsia="zh-CN"/>
        </w:rPr>
        <w:t>is allowed to</w:t>
      </w:r>
      <w:r>
        <w:rPr>
          <w:rFonts w:hint="eastAsia"/>
          <w:bCs/>
          <w:iCs/>
          <w:szCs w:val="21"/>
        </w:rPr>
        <w:t xml:space="preserve"> select the cell for the second CPC execution</w:t>
      </w:r>
      <w:r>
        <w:rPr>
          <w:rFonts w:hint="eastAsia"/>
          <w:bCs/>
          <w:iCs/>
          <w:szCs w:val="21"/>
          <w:lang w:val="en-US" w:eastAsia="zh-CN"/>
        </w:rPr>
        <w:t xml:space="preserve">? </w:t>
      </w:r>
      <w:r>
        <w:rPr>
          <w:bCs/>
          <w:iCs/>
          <w:szCs w:val="21"/>
        </w:rPr>
        <w:t xml:space="preserve">If it’s allowed, </w:t>
      </w:r>
      <w:r>
        <w:rPr>
          <w:rFonts w:hint="eastAsia"/>
          <w:bCs/>
          <w:iCs/>
          <w:szCs w:val="21"/>
          <w:lang w:val="en-US" w:eastAsia="zh-CN"/>
        </w:rPr>
        <w:t xml:space="preserve">the UE shall </w:t>
      </w:r>
      <w:r>
        <w:rPr>
          <w:bCs/>
          <w:iCs/>
          <w:szCs w:val="21"/>
        </w:rPr>
        <w:t>apply the newly</w:t>
      </w:r>
      <w:r>
        <w:rPr>
          <w:rFonts w:hint="eastAsia"/>
          <w:bCs/>
          <w:iCs/>
          <w:szCs w:val="21"/>
          <w:lang w:val="en-US" w:eastAsia="zh-CN"/>
        </w:rPr>
        <w:t>-</w:t>
      </w:r>
      <w:r>
        <w:rPr>
          <w:bCs/>
          <w:iCs/>
          <w:szCs w:val="21"/>
        </w:rPr>
        <w:t>selected candidate cell configuration</w:t>
      </w:r>
      <w:r>
        <w:rPr>
          <w:rFonts w:hint="eastAsia"/>
          <w:bCs/>
          <w:iCs/>
          <w:szCs w:val="21"/>
          <w:lang w:val="en-US" w:eastAsia="zh-CN"/>
        </w:rPr>
        <w:t>.</w:t>
      </w:r>
      <w:r>
        <w:rPr>
          <w:bCs/>
          <w:iCs/>
          <w:szCs w:val="21"/>
        </w:rPr>
        <w:t xml:space="preserve"> </w:t>
      </w:r>
      <w:r>
        <w:rPr>
          <w:rFonts w:hint="eastAsia"/>
          <w:bCs/>
          <w:iCs/>
          <w:szCs w:val="21"/>
          <w:lang w:val="en-US" w:eastAsia="zh-CN"/>
        </w:rPr>
        <w:t>Considering that the candidate cell configuration can be a delta configuration,</w:t>
      </w:r>
      <w:r>
        <w:rPr>
          <w:bCs/>
          <w:iCs/>
          <w:szCs w:val="21"/>
        </w:rPr>
        <w:t xml:space="preserve"> the UE </w:t>
      </w:r>
      <w:r>
        <w:rPr>
          <w:rFonts w:hint="eastAsia"/>
          <w:bCs/>
          <w:iCs/>
          <w:szCs w:val="21"/>
          <w:lang w:val="en-US" w:eastAsia="zh-CN"/>
        </w:rPr>
        <w:t>may need</w:t>
      </w:r>
      <w:r>
        <w:rPr>
          <w:bCs/>
          <w:iCs/>
          <w:szCs w:val="21"/>
        </w:rPr>
        <w:t xml:space="preserve"> to fall back to the source PSCell configuration and apply the new candidate cell configuration based on the source configuration. So many issues should be further considered if option 2 is selected. And the UE behavior is much complicated. </w:t>
      </w:r>
    </w:p>
    <w:p>
      <w:pPr>
        <w:adjustRightInd w:val="0"/>
        <w:snapToGrid w:val="0"/>
        <w:spacing w:line="260" w:lineRule="auto"/>
        <w:rPr>
          <w:bCs/>
          <w:i/>
          <w:iCs/>
          <w:szCs w:val="21"/>
        </w:rPr>
      </w:pPr>
      <w:r>
        <w:rPr>
          <w:bCs/>
          <w:i/>
          <w:iCs/>
          <w:szCs w:val="21"/>
        </w:rPr>
        <w:t>Observation 4:</w:t>
      </w:r>
      <w:r>
        <w:t xml:space="preserve"> </w:t>
      </w:r>
      <w:r>
        <w:rPr>
          <w:bCs/>
          <w:i/>
          <w:iCs/>
          <w:szCs w:val="21"/>
        </w:rPr>
        <w:t xml:space="preserve">In case that CPC is triggered while SCG is deactivated SCG, if the UE applies the corresponding candidate PSCell configuration, but </w:t>
      </w:r>
      <w:r>
        <w:rPr>
          <w:rFonts w:hint="eastAsia"/>
          <w:bCs/>
          <w:i/>
          <w:iCs/>
          <w:szCs w:val="21"/>
          <w:lang w:val="en-US" w:eastAsia="zh-CN"/>
        </w:rPr>
        <w:t xml:space="preserve">does </w:t>
      </w:r>
      <w:r>
        <w:rPr>
          <w:bCs/>
          <w:i/>
          <w:iCs/>
          <w:szCs w:val="21"/>
        </w:rPr>
        <w:t>not perform RACH immediately, many issues should be further considered, e.g. whether to stop the CPC evaluation? how to handle other stored candidate PSCell configurations?</w:t>
      </w:r>
    </w:p>
    <w:p>
      <w:pPr>
        <w:adjustRightInd w:val="0"/>
        <w:snapToGrid w:val="0"/>
        <w:spacing w:line="260" w:lineRule="auto"/>
        <w:rPr>
          <w:bCs/>
          <w:iCs/>
          <w:szCs w:val="21"/>
        </w:rPr>
      </w:pPr>
      <w:r>
        <w:rPr>
          <w:bCs/>
          <w:iCs/>
          <w:szCs w:val="21"/>
        </w:rPr>
        <w:t>Option 3 is much simpler. The UE shall not trigger the execution of CPC while SCG is deactivated. Only when SCG is activated again via receiving SCG activation command from the MN, the UE can trigger the execution of CPC if the corresponding execution condition is met. If companies concerned that the UE may need to store candidate PSCell configurations for a long time during SCG deactivation, anyway it can be up to the NW implementation to release the CPC configuration while SCG is deactivated.</w:t>
      </w:r>
    </w:p>
    <w:p>
      <w:pPr>
        <w:adjustRightInd w:val="0"/>
        <w:snapToGrid w:val="0"/>
        <w:spacing w:line="260" w:lineRule="auto"/>
        <w:rPr>
          <w:b/>
          <w:bCs/>
          <w:iCs/>
          <w:szCs w:val="21"/>
        </w:rPr>
      </w:pPr>
      <w:r>
        <w:rPr>
          <w:rFonts w:hint="eastAsia"/>
          <w:b/>
          <w:bCs/>
          <w:iCs/>
          <w:szCs w:val="21"/>
        </w:rPr>
        <w:t>P</w:t>
      </w:r>
      <w:r>
        <w:rPr>
          <w:b/>
          <w:bCs/>
          <w:iCs/>
          <w:szCs w:val="21"/>
        </w:rPr>
        <w:t>roposal 3: The UE does not trigger the execution of CPC while SCG is deactivated.</w:t>
      </w:r>
    </w:p>
    <w:p>
      <w:pPr>
        <w:pStyle w:val="3"/>
        <w:numPr>
          <w:ilvl w:val="1"/>
          <w:numId w:val="0"/>
        </w:numPr>
        <w:tabs>
          <w:tab w:val="clear" w:pos="432"/>
        </w:tabs>
        <w:rPr>
          <w:lang w:val="en-US"/>
        </w:rPr>
      </w:pPr>
      <w:r>
        <w:rPr>
          <w:lang w:val="en-US"/>
        </w:rPr>
        <w:t>2.2 Unsynchronized update of MCG configuration at CPAC execution</w:t>
      </w:r>
    </w:p>
    <w:p>
      <w:r>
        <w:t>At previous meetings, RAN2 agreed that the final RRC message for CPAC is in MN format, which means the CPAC configuration includes both MCG configuration and SCG configuration for the candidate PSCell. In case that multiple candidate PSCells are configured for the UE, multiple pair of MCG configuration and SCG configuration are stored at the UE side and the NW side. Upon triggering the execution of CPAC, the UE shall apply the corresponding candidate PSCell configuration (including both MCG and SCG configuration) and sends the RRC reconfiguration complete message to the MN based on the new MCG configuration. However, the MN has no idea about the execution of CPAC before receiving the RRC reconfiguration complete message. Thus the MN uses the current MCG configuration to receive the RRC reconfiguration complete message based on the new MCG configuration. Some companies concerned that the unsynchronized update of MCG configuration may cause the decoding failure of the complete message, which may lead to the CPAC failure.</w:t>
      </w:r>
    </w:p>
    <w:p>
      <w:r>
        <w:t xml:space="preserve">However, as analyzed in [6], the MCG configuration included in the CPAC configuration mainly includes the </w:t>
      </w:r>
      <w:r>
        <w:rPr>
          <w:i/>
        </w:rPr>
        <w:t>sk-counter</w:t>
      </w:r>
      <w:r>
        <w:t xml:space="preserve"> and the </w:t>
      </w:r>
      <w:r>
        <w:rPr>
          <w:i/>
        </w:rPr>
        <w:t>RadiobearerConfig</w:t>
      </w:r>
      <w:r>
        <w:t xml:space="preserve"> for the UE, i.e., the contained MCG configuration for each candidate PSCell will not include the lower layer configurations and the SRB configuration to update the SRB or lower layer configuration of the MN. So it seems no much big problem for the MN to decode the complete message even if the MCG configuration at the UE side and the NW side </w:t>
      </w:r>
      <w:r>
        <w:rPr>
          <w:rFonts w:hint="eastAsia"/>
          <w:lang w:val="en-US" w:eastAsia="zh-CN"/>
        </w:rPr>
        <w:t>are not fully aligned</w:t>
      </w:r>
      <w:r>
        <w:t xml:space="preserve">. </w:t>
      </w:r>
    </w:p>
    <w:p>
      <w:pPr>
        <w:rPr>
          <w:rFonts w:hint="default" w:eastAsiaTheme="minorEastAsia"/>
          <w:i/>
          <w:iCs/>
          <w:lang w:val="en-US" w:eastAsia="zh-CN"/>
        </w:rPr>
      </w:pPr>
      <w:r>
        <w:rPr>
          <w:bCs/>
          <w:i/>
          <w:iCs/>
          <w:szCs w:val="21"/>
        </w:rPr>
        <w:t xml:space="preserve">Observation </w:t>
      </w:r>
      <w:r>
        <w:rPr>
          <w:rFonts w:hint="eastAsia"/>
          <w:bCs/>
          <w:i/>
          <w:iCs/>
          <w:szCs w:val="21"/>
          <w:lang w:val="en-US" w:eastAsia="zh-CN"/>
        </w:rPr>
        <w:t>5</w:t>
      </w:r>
      <w:r>
        <w:rPr>
          <w:bCs/>
          <w:i/>
          <w:iCs/>
          <w:szCs w:val="21"/>
        </w:rPr>
        <w:t>:</w:t>
      </w:r>
      <w:r>
        <w:rPr>
          <w:rFonts w:hint="eastAsia"/>
          <w:bCs/>
          <w:i/>
          <w:iCs/>
          <w:szCs w:val="21"/>
          <w:lang w:val="en-US" w:eastAsia="zh-CN"/>
        </w:rPr>
        <w:t xml:space="preserve"> If the MCG configuration only includes the CPAC related configuration, e.g. the </w:t>
      </w:r>
      <w:r>
        <w:rPr>
          <w:i/>
          <w:iCs/>
        </w:rPr>
        <w:t>sk-counter and the RadiobearerConfig</w:t>
      </w:r>
      <w:r>
        <w:rPr>
          <w:rFonts w:hint="eastAsia"/>
          <w:i/>
          <w:iCs/>
          <w:lang w:val="en-US" w:eastAsia="zh-CN"/>
        </w:rPr>
        <w:t>, it seems no problem for the MN to decode the complete message even if the MCG configuration at the UE side and the NW side are not fully aligned.</w:t>
      </w:r>
    </w:p>
    <w:p>
      <w:r>
        <w:rPr>
          <w:rFonts w:hint="eastAsia"/>
          <w:lang w:val="en-US" w:eastAsia="zh-CN"/>
        </w:rPr>
        <w:t>Besides,</w:t>
      </w:r>
      <w:r>
        <w:t xml:space="preserve"> the MN can immediately apply the corresponding MCG configuration once receiving the complete message from the UE. Anyway it can be up to the MN implementation to ensure the complete message is decoded correctly, e.g. not update the lower layer configurations and SRB configuration in the CPAC configuration.</w:t>
      </w:r>
    </w:p>
    <w:p>
      <w:pPr>
        <w:rPr>
          <w:b/>
          <w:bCs/>
          <w:iCs/>
          <w:szCs w:val="21"/>
        </w:rPr>
      </w:pPr>
      <w:r>
        <w:rPr>
          <w:rFonts w:hint="eastAsia"/>
          <w:b/>
          <w:bCs/>
          <w:iCs/>
          <w:szCs w:val="21"/>
        </w:rPr>
        <w:t>P</w:t>
      </w:r>
      <w:r>
        <w:rPr>
          <w:b/>
          <w:bCs/>
          <w:iCs/>
          <w:szCs w:val="21"/>
        </w:rPr>
        <w:t>roposal 4: It can be up to the NW implantation to ensure that no problem is caused by unsynchronized update of MCG configuration at CPAC execution, e.g. not update the MCG lower layer configurations and SRB configuration in the CPAC configuration.</w:t>
      </w:r>
    </w:p>
    <w:p>
      <w:pPr>
        <w:pStyle w:val="3"/>
        <w:numPr>
          <w:ilvl w:val="1"/>
          <w:numId w:val="0"/>
        </w:numPr>
        <w:ind w:leftChars="0"/>
        <w:rPr>
          <w:szCs w:val="24"/>
        </w:rPr>
      </w:pPr>
      <w:r>
        <w:rPr>
          <w:rFonts w:hint="eastAsia" w:eastAsia="宋体"/>
          <w:lang w:val="en-US" w:eastAsia="zh-CN"/>
        </w:rPr>
        <w:t xml:space="preserve">2.3 </w:t>
      </w:r>
      <w:r>
        <w:rPr>
          <w:rFonts w:hint="eastAsia"/>
        </w:rPr>
        <w:t>Enhancement on measurement gap configuration</w:t>
      </w:r>
    </w:p>
    <w:p>
      <w:pPr>
        <w:autoSpaceDE w:val="0"/>
        <w:adjustRightInd w:val="0"/>
        <w:snapToGrid w:val="0"/>
      </w:pPr>
      <w:r>
        <w:rPr>
          <w:rFonts w:hint="eastAsia"/>
        </w:rPr>
        <w:t>In SN initiated CPC, the source SN may update its configuration (e.g. the measurement gap configuration) after knowing the candidate PSCells accepted by the target SN. However, the target SN may generate the candidate PSCell configuration based on the original source SN configuration (i.e. before the source SN updates its configuration), which may require multiple round inter-node interaction between the MN, target SN and source SN</w:t>
      </w:r>
      <w:r>
        <w:rPr>
          <w:rFonts w:hint="eastAsia"/>
          <w:lang w:val="en-US" w:eastAsia="zh-CN"/>
        </w:rPr>
        <w:t>,</w:t>
      </w:r>
      <w:r>
        <w:rPr>
          <w:rFonts w:hint="eastAsia"/>
        </w:rPr>
        <w:t xml:space="preserve"> to avoid the configuration misalignment between the UE side and the target NW side. </w:t>
      </w:r>
    </w:p>
    <w:p>
      <w:pPr>
        <w:autoSpaceDE w:val="0"/>
        <w:adjustRightInd w:val="0"/>
        <w:snapToGrid w:val="0"/>
      </w:pPr>
      <w:r>
        <w:rPr>
          <w:rFonts w:hint="eastAsia"/>
          <w:i/>
          <w:iCs/>
        </w:rPr>
        <w:t xml:space="preserve">Observation </w:t>
      </w:r>
      <w:r>
        <w:rPr>
          <w:rFonts w:hint="eastAsia"/>
          <w:i/>
          <w:iCs/>
          <w:lang w:val="en-US" w:eastAsia="zh-CN"/>
        </w:rPr>
        <w:t>6</w:t>
      </w:r>
      <w:r>
        <w:rPr>
          <w:rFonts w:hint="eastAsia"/>
          <w:i/>
          <w:iCs/>
        </w:rPr>
        <w:t>: In SN initiated CPC, the source SN configuration update (e.g. the measurement gap configuration) caused by the candidate PSCells selection by the target SN, may require multiple round inter-node interaction between the MN, target SN and source SN, to avoid the configuration misalignment between the UE side and the target NW side.</w:t>
      </w:r>
    </w:p>
    <w:p>
      <w:pPr>
        <w:autoSpaceDE w:val="0"/>
        <w:adjustRightInd w:val="0"/>
        <w:snapToGrid w:val="0"/>
      </w:pPr>
      <w:r>
        <w:rPr>
          <w:rFonts w:hint="eastAsia"/>
        </w:rPr>
        <w:t xml:space="preserve">In order to avoid the nested procedure for </w:t>
      </w:r>
      <w:r>
        <w:rPr>
          <w:rFonts w:hint="eastAsia"/>
          <w:lang w:val="en-US" w:eastAsia="zh-CN"/>
        </w:rPr>
        <w:t xml:space="preserve">the </w:t>
      </w:r>
      <w:r>
        <w:rPr>
          <w:rFonts w:hint="eastAsia"/>
        </w:rPr>
        <w:t xml:space="preserve">configuration update, some companies proposed to restrict that the target SN always provides full configuration (at least for the measurement gap configuration). However, considering that multiple candidate PSCells can be configured for the UE, using full configuration shall cause large signalling overhead. </w:t>
      </w:r>
    </w:p>
    <w:p>
      <w:pPr>
        <w:autoSpaceDE w:val="0"/>
        <w:adjustRightInd w:val="0"/>
        <w:snapToGrid w:val="0"/>
        <w:rPr>
          <w:rFonts w:hint="eastAsia"/>
        </w:rPr>
      </w:pPr>
      <w:r>
        <w:rPr>
          <w:rFonts w:hint="eastAsia"/>
          <w:i/>
          <w:iCs/>
        </w:rPr>
        <w:t xml:space="preserve">Observation </w:t>
      </w:r>
      <w:r>
        <w:rPr>
          <w:rFonts w:hint="eastAsia"/>
          <w:i/>
          <w:iCs/>
          <w:lang w:val="en-US" w:eastAsia="zh-CN"/>
        </w:rPr>
        <w:t>7</w:t>
      </w:r>
      <w:r>
        <w:rPr>
          <w:rFonts w:hint="eastAsia"/>
          <w:i/>
          <w:iCs/>
        </w:rPr>
        <w:t xml:space="preserve">: Considering that multiple candidate PSCells can be configured for the UE, using full configuration shall cause large signalling overhead. </w:t>
      </w:r>
    </w:p>
    <w:p>
      <w:pPr>
        <w:autoSpaceDE w:val="0"/>
        <w:adjustRightInd w:val="0"/>
        <w:snapToGrid w:val="0"/>
        <w:rPr>
          <w:rFonts w:hint="eastAsia"/>
        </w:rPr>
      </w:pPr>
      <w:r>
        <w:rPr>
          <w:rFonts w:hint="eastAsia"/>
        </w:rPr>
        <w:t xml:space="preserve">One potential solution is that the source SN provides a separate measurement gap to the UE, which can only be used during the evaluation of CPAC, e.g. introduce a CPAC </w:t>
      </w:r>
      <w:r>
        <w:rPr>
          <w:rFonts w:hint="eastAsia"/>
          <w:lang w:val="en-US" w:eastAsia="zh-CN"/>
        </w:rPr>
        <w:t>specific</w:t>
      </w:r>
      <w:r>
        <w:rPr>
          <w:rFonts w:hint="eastAsia"/>
        </w:rPr>
        <w:t xml:space="preserve"> measurement gap within </w:t>
      </w:r>
      <w:r>
        <w:rPr>
          <w:rFonts w:hint="eastAsia"/>
          <w:i/>
          <w:iCs/>
        </w:rPr>
        <w:t xml:space="preserve">conditionalReconfiguration </w:t>
      </w:r>
      <w:r>
        <w:rPr>
          <w:rFonts w:hint="eastAsia"/>
        </w:rPr>
        <w:t xml:space="preserve">IE. The measurement gap can cover both CPAC related measurements and normal RRM measurements. When the UE receives the CPAC </w:t>
      </w:r>
      <w:r>
        <w:rPr>
          <w:rFonts w:hint="eastAsia"/>
          <w:lang w:val="en-US" w:eastAsia="zh-CN"/>
        </w:rPr>
        <w:t>specific</w:t>
      </w:r>
      <w:r>
        <w:rPr>
          <w:rFonts w:hint="eastAsia"/>
        </w:rPr>
        <w:t xml:space="preserve"> measurement gap, the UE shall ignore the original measurement gap and use the CPAC </w:t>
      </w:r>
      <w:r>
        <w:rPr>
          <w:rFonts w:hint="eastAsia"/>
          <w:lang w:val="en-US" w:eastAsia="zh-CN"/>
        </w:rPr>
        <w:t>specific</w:t>
      </w:r>
      <w:r>
        <w:rPr>
          <w:rFonts w:hint="eastAsia"/>
        </w:rPr>
        <w:t xml:space="preserve"> measurement gap during CPAC execution. Upon the successful completion of CPAC execution, the UE shall remove the CPAC </w:t>
      </w:r>
      <w:r>
        <w:rPr>
          <w:rFonts w:hint="eastAsia"/>
          <w:lang w:val="en-US" w:eastAsia="zh-CN"/>
        </w:rPr>
        <w:t>specific</w:t>
      </w:r>
      <w:r>
        <w:rPr>
          <w:rFonts w:hint="eastAsia"/>
        </w:rPr>
        <w:t xml:space="preserve"> measurement gap, similar to the CPAC related measurement IDs. Thus, the target SN can still generate the measurement gap for the candidate PSCell based on the original gap configuration. And the UE shall apply the candidate cell configuration based on the original measurement gap configuration. </w:t>
      </w:r>
      <w:r>
        <w:rPr>
          <w:rFonts w:hint="eastAsia"/>
          <w:lang w:val="en-US" w:eastAsia="zh-CN"/>
        </w:rPr>
        <w:t>Although this solution</w:t>
      </w:r>
      <w:r>
        <w:rPr>
          <w:rFonts w:hint="eastAsia"/>
        </w:rPr>
        <w:t xml:space="preserve"> requires the UE to store two sets of measurement gap configuration, it can reduce the signalling overhead and avoid frequent candidate cell configuration update </w:t>
      </w:r>
      <w:r>
        <w:rPr>
          <w:rFonts w:hint="eastAsia"/>
          <w:lang w:val="en-US" w:eastAsia="zh-CN"/>
        </w:rPr>
        <w:t>caused by</w:t>
      </w:r>
      <w:r>
        <w:rPr>
          <w:rFonts w:hint="eastAsia"/>
        </w:rPr>
        <w:t xml:space="preserve"> the source configuration update.</w:t>
      </w:r>
    </w:p>
    <w:p>
      <w:pPr>
        <w:autoSpaceDE w:val="0"/>
        <w:adjustRightInd w:val="0"/>
        <w:snapToGrid w:val="0"/>
        <w:rPr>
          <w:rFonts w:hint="eastAsia"/>
          <w:b/>
          <w:bCs/>
        </w:rPr>
      </w:pPr>
      <w:r>
        <w:rPr>
          <w:rFonts w:hint="eastAsia"/>
          <w:b/>
          <w:bCs/>
        </w:rPr>
        <w:t xml:space="preserve">Proposal </w:t>
      </w:r>
      <w:r>
        <w:rPr>
          <w:rFonts w:hint="eastAsia"/>
          <w:b/>
          <w:bCs/>
          <w:lang w:val="en-US" w:eastAsia="zh-CN"/>
        </w:rPr>
        <w:t>5</w:t>
      </w:r>
      <w:r>
        <w:rPr>
          <w:rFonts w:hint="eastAsia"/>
          <w:b/>
          <w:bCs/>
        </w:rPr>
        <w:t xml:space="preserve">: A separate measurement gap (e.g. CPAC </w:t>
      </w:r>
      <w:r>
        <w:rPr>
          <w:rFonts w:hint="eastAsia"/>
          <w:b/>
          <w:bCs/>
          <w:lang w:val="en-US" w:eastAsia="zh-CN"/>
        </w:rPr>
        <w:t xml:space="preserve">specific </w:t>
      </w:r>
      <w:r>
        <w:rPr>
          <w:rFonts w:hint="eastAsia"/>
          <w:b/>
          <w:bCs/>
        </w:rPr>
        <w:t xml:space="preserve">measurement gap) to be used during the evaluation of CPAC, is </w:t>
      </w:r>
      <w:r>
        <w:rPr>
          <w:rFonts w:hint="eastAsia"/>
          <w:b/>
          <w:bCs/>
          <w:lang w:val="en-US" w:eastAsia="zh-CN"/>
        </w:rPr>
        <w:t>provided by the source SN</w:t>
      </w:r>
      <w:r>
        <w:rPr>
          <w:rFonts w:hint="eastAsia"/>
          <w:b/>
          <w:bCs/>
        </w:rPr>
        <w:t xml:space="preserve"> for the UE, which covers both CPAC related measurements and normal RRM measurements.</w:t>
      </w:r>
    </w:p>
    <w:p>
      <w:pPr>
        <w:autoSpaceDE w:val="0"/>
        <w:adjustRightInd w:val="0"/>
        <w:snapToGrid w:val="0"/>
        <w:rPr>
          <w:rFonts w:hint="eastAsia"/>
          <w:b/>
          <w:bCs/>
        </w:rPr>
      </w:pPr>
      <w:r>
        <w:rPr>
          <w:rFonts w:hint="eastAsia"/>
          <w:b/>
          <w:bCs/>
        </w:rPr>
        <w:t xml:space="preserve">Proposal </w:t>
      </w:r>
      <w:r>
        <w:rPr>
          <w:rFonts w:hint="eastAsia"/>
          <w:b/>
          <w:bCs/>
          <w:lang w:val="en-US" w:eastAsia="zh-CN"/>
        </w:rPr>
        <w:t>6</w:t>
      </w:r>
      <w:r>
        <w:rPr>
          <w:rFonts w:hint="eastAsia"/>
          <w:b/>
          <w:bCs/>
        </w:rPr>
        <w:t xml:space="preserve">. Upon reception of the CPAC </w:t>
      </w:r>
      <w:r>
        <w:rPr>
          <w:rFonts w:hint="eastAsia"/>
          <w:b/>
          <w:bCs/>
          <w:lang w:val="en-US" w:eastAsia="zh-CN"/>
        </w:rPr>
        <w:t>specific</w:t>
      </w:r>
      <w:r>
        <w:rPr>
          <w:rFonts w:hint="eastAsia"/>
          <w:b/>
          <w:bCs/>
        </w:rPr>
        <w:t xml:space="preserve"> measurement gap, the UE ignores the original measurement gap configuration and uses the new measurement gap configuration during the evaluation of CPAC.</w:t>
      </w:r>
    </w:p>
    <w:p>
      <w:pPr>
        <w:autoSpaceDE w:val="0"/>
        <w:adjustRightInd w:val="0"/>
        <w:snapToGrid w:val="0"/>
        <w:rPr>
          <w:rFonts w:hint="eastAsia"/>
          <w:b/>
          <w:bCs/>
        </w:rPr>
      </w:pPr>
      <w:r>
        <w:rPr>
          <w:rFonts w:hint="eastAsia"/>
          <w:b/>
          <w:bCs/>
        </w:rPr>
        <w:t xml:space="preserve">Proposal </w:t>
      </w:r>
      <w:r>
        <w:rPr>
          <w:rFonts w:hint="eastAsia"/>
          <w:b/>
          <w:bCs/>
          <w:lang w:val="en-US" w:eastAsia="zh-CN"/>
        </w:rPr>
        <w:t>7</w:t>
      </w:r>
      <w:r>
        <w:rPr>
          <w:rFonts w:hint="eastAsia"/>
          <w:b/>
          <w:bCs/>
        </w:rPr>
        <w:t xml:space="preserve">. Upon triggering the execution of CPAC, the UE applies the corresponding candidate cell configuration based on the original measurement gap configuration. </w:t>
      </w:r>
    </w:p>
    <w:p>
      <w:pPr>
        <w:autoSpaceDE w:val="0"/>
        <w:adjustRightInd w:val="0"/>
        <w:snapToGrid w:val="0"/>
        <w:rPr>
          <w:rFonts w:hint="eastAsia"/>
        </w:rPr>
      </w:pPr>
      <w:r>
        <w:rPr>
          <w:rFonts w:hint="eastAsia"/>
          <w:b/>
          <w:bCs/>
        </w:rPr>
        <w:t xml:space="preserve">Proposal </w:t>
      </w:r>
      <w:r>
        <w:rPr>
          <w:rFonts w:hint="eastAsia"/>
          <w:b/>
          <w:bCs/>
          <w:lang w:val="en-US" w:eastAsia="zh-CN"/>
        </w:rPr>
        <w:t>8</w:t>
      </w:r>
      <w:r>
        <w:rPr>
          <w:rFonts w:hint="eastAsia"/>
          <w:b/>
          <w:bCs/>
        </w:rPr>
        <w:t xml:space="preserve">. Upon successful completion of CPAC execution, the UE removes the CPAC </w:t>
      </w:r>
      <w:r>
        <w:rPr>
          <w:rFonts w:hint="eastAsia"/>
          <w:b/>
          <w:bCs/>
          <w:lang w:val="en-US" w:eastAsia="zh-CN"/>
        </w:rPr>
        <w:t>specific</w:t>
      </w:r>
      <w:r>
        <w:rPr>
          <w:rFonts w:hint="eastAsia"/>
          <w:b/>
          <w:bCs/>
        </w:rPr>
        <w:t xml:space="preserve"> measurement gap</w:t>
      </w:r>
      <w:r>
        <w:rPr>
          <w:rFonts w:hint="eastAsia"/>
          <w:b/>
          <w:bCs/>
          <w:lang w:val="en-US" w:eastAsia="zh-CN"/>
        </w:rPr>
        <w:t xml:space="preserve"> configuration</w:t>
      </w:r>
      <w:r>
        <w:rPr>
          <w:rFonts w:hint="eastAsia"/>
          <w:b/>
          <w:bCs/>
        </w:rPr>
        <w:t xml:space="preserve">.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t>In this contribution,</w:t>
      </w:r>
      <w:r>
        <w:rPr>
          <w:rFonts w:hint="eastAsia"/>
        </w:rPr>
        <w:t xml:space="preserve"> we discussed some remaining issues on CPAC from </w:t>
      </w:r>
      <w:r>
        <w:rPr>
          <w:rFonts w:hint="eastAsia"/>
          <w:lang w:val="en-US" w:eastAsia="zh-CN"/>
        </w:rPr>
        <w:t>UE</w:t>
      </w:r>
      <w:r>
        <w:rPr>
          <w:rFonts w:hint="eastAsia"/>
        </w:rPr>
        <w:t xml:space="preserve"> perspective with the following observations and proposals:</w:t>
      </w:r>
    </w:p>
    <w:p>
      <w:pPr>
        <w:adjustRightInd w:val="0"/>
        <w:snapToGrid w:val="0"/>
        <w:spacing w:line="260" w:lineRule="auto"/>
        <w:rPr>
          <w:b/>
          <w:iCs/>
          <w:szCs w:val="21"/>
        </w:rPr>
      </w:pPr>
      <w:r>
        <w:rPr>
          <w:rFonts w:hint="eastAsia"/>
          <w:b/>
          <w:iCs/>
          <w:szCs w:val="21"/>
        </w:rPr>
        <w:t>Proposal 1: RAN2 supports the coexistence of CPAC and SCG deactivation.</w:t>
      </w:r>
    </w:p>
    <w:p>
      <w:pPr>
        <w:adjustRightInd w:val="0"/>
        <w:snapToGrid w:val="0"/>
        <w:spacing w:line="260" w:lineRule="auto"/>
        <w:rPr>
          <w:bCs/>
          <w:i/>
          <w:iCs/>
          <w:szCs w:val="21"/>
        </w:rPr>
      </w:pPr>
      <w:r>
        <w:rPr>
          <w:bCs/>
          <w:i/>
          <w:iCs/>
          <w:szCs w:val="21"/>
        </w:rPr>
        <w:t>Observation 1: SCG activation state (activated/deactivated) can be configured at PSCell addition/change.</w:t>
      </w:r>
    </w:p>
    <w:p>
      <w:pPr>
        <w:adjustRightInd w:val="0"/>
        <w:snapToGrid w:val="0"/>
        <w:spacing w:line="260" w:lineRule="auto"/>
        <w:rPr>
          <w:bCs/>
          <w:i/>
          <w:iCs/>
          <w:szCs w:val="21"/>
        </w:rPr>
      </w:pPr>
      <w:r>
        <w:rPr>
          <w:bCs/>
          <w:i/>
          <w:iCs/>
          <w:szCs w:val="21"/>
        </w:rPr>
        <w:t>Observation 2: Only the MN can generate an RRC message with SCG (de)activation.</w:t>
      </w:r>
    </w:p>
    <w:p>
      <w:pPr>
        <w:adjustRightInd w:val="0"/>
        <w:snapToGrid w:val="0"/>
        <w:spacing w:line="260" w:lineRule="auto"/>
        <w:rPr>
          <w:b/>
          <w:bCs/>
          <w:iCs/>
          <w:szCs w:val="21"/>
        </w:rPr>
      </w:pPr>
      <w:r>
        <w:rPr>
          <w:rFonts w:hint="eastAsia"/>
          <w:b/>
          <w:bCs/>
          <w:iCs/>
          <w:szCs w:val="21"/>
        </w:rPr>
        <w:t>P</w:t>
      </w:r>
      <w:r>
        <w:rPr>
          <w:b/>
          <w:bCs/>
          <w:iCs/>
          <w:szCs w:val="21"/>
        </w:rPr>
        <w:t xml:space="preserve">roposal 2: SCG activation state (activated/deactivated) can be configured at CPAC, i.e. in the MN </w:t>
      </w:r>
      <w:r>
        <w:rPr>
          <w:b/>
          <w:bCs/>
          <w:i/>
          <w:iCs/>
          <w:szCs w:val="21"/>
        </w:rPr>
        <w:t>RRC(Connection)Reconfiguration</w:t>
      </w:r>
      <w:r>
        <w:rPr>
          <w:b/>
          <w:bCs/>
          <w:iCs/>
          <w:szCs w:val="21"/>
        </w:rPr>
        <w:t xml:space="preserve"> within </w:t>
      </w:r>
      <w:r>
        <w:rPr>
          <w:b/>
          <w:bCs/>
          <w:i/>
          <w:iCs/>
          <w:szCs w:val="21"/>
        </w:rPr>
        <w:t>conditionalReconfiguration</w:t>
      </w:r>
      <w:r>
        <w:rPr>
          <w:b/>
          <w:bCs/>
          <w:iCs/>
          <w:szCs w:val="21"/>
        </w:rPr>
        <w:t>.</w:t>
      </w:r>
    </w:p>
    <w:p>
      <w:pPr>
        <w:adjustRightInd w:val="0"/>
        <w:snapToGrid w:val="0"/>
        <w:spacing w:line="260" w:lineRule="auto"/>
        <w:rPr>
          <w:bCs/>
          <w:iCs/>
          <w:szCs w:val="21"/>
        </w:rPr>
      </w:pPr>
      <w:r>
        <w:rPr>
          <w:bCs/>
          <w:i/>
          <w:iCs/>
          <w:szCs w:val="21"/>
        </w:rPr>
        <w:t>Observation 3:</w:t>
      </w:r>
      <w:r>
        <w:t xml:space="preserve"> </w:t>
      </w:r>
      <w:r>
        <w:rPr>
          <w:bCs/>
          <w:i/>
          <w:iCs/>
          <w:szCs w:val="21"/>
        </w:rPr>
        <w:t>At PSCell addition/change, in case the SCG state is configured as deactivated, the UE does not perform random access. The same principle should also be applicable to CPAC.</w:t>
      </w:r>
    </w:p>
    <w:p>
      <w:pPr>
        <w:adjustRightInd w:val="0"/>
        <w:snapToGrid w:val="0"/>
        <w:spacing w:line="260" w:lineRule="auto"/>
        <w:rPr>
          <w:bCs/>
          <w:i/>
          <w:iCs/>
          <w:szCs w:val="21"/>
        </w:rPr>
      </w:pPr>
      <w:r>
        <w:rPr>
          <w:bCs/>
          <w:i/>
          <w:iCs/>
          <w:szCs w:val="21"/>
        </w:rPr>
        <w:t>Observation 4:</w:t>
      </w:r>
      <w:r>
        <w:t xml:space="preserve"> </w:t>
      </w:r>
      <w:r>
        <w:rPr>
          <w:bCs/>
          <w:i/>
          <w:iCs/>
          <w:szCs w:val="21"/>
        </w:rPr>
        <w:t xml:space="preserve">In case that CPC is triggered while SCG is deactivated SCG, if the UE applies the corresponding candidate PSCell configuration, but </w:t>
      </w:r>
      <w:r>
        <w:rPr>
          <w:rFonts w:hint="eastAsia"/>
          <w:bCs/>
          <w:i/>
          <w:iCs/>
          <w:szCs w:val="21"/>
          <w:lang w:val="en-US" w:eastAsia="zh-CN"/>
        </w:rPr>
        <w:t xml:space="preserve">does </w:t>
      </w:r>
      <w:r>
        <w:rPr>
          <w:bCs/>
          <w:i/>
          <w:iCs/>
          <w:szCs w:val="21"/>
        </w:rPr>
        <w:t>not perform RACH immediately, many issues should be further considered, e.g. whether to stop the CPC evaluation? how to handle other stored candidate PSCell configurations?</w:t>
      </w:r>
    </w:p>
    <w:p>
      <w:pPr>
        <w:adjustRightInd w:val="0"/>
        <w:snapToGrid w:val="0"/>
        <w:spacing w:line="260" w:lineRule="auto"/>
        <w:rPr>
          <w:b/>
          <w:bCs/>
          <w:iCs/>
          <w:szCs w:val="21"/>
        </w:rPr>
      </w:pPr>
      <w:r>
        <w:rPr>
          <w:rFonts w:hint="eastAsia"/>
          <w:b/>
          <w:bCs/>
          <w:iCs/>
          <w:szCs w:val="21"/>
        </w:rPr>
        <w:t>P</w:t>
      </w:r>
      <w:r>
        <w:rPr>
          <w:b/>
          <w:bCs/>
          <w:iCs/>
          <w:szCs w:val="21"/>
        </w:rPr>
        <w:t>roposal 3: The UE does not trigger the execution of CPC while SCG is deactivated.</w:t>
      </w:r>
    </w:p>
    <w:p>
      <w:pPr>
        <w:rPr>
          <w:rFonts w:hint="default" w:eastAsiaTheme="minorEastAsia"/>
          <w:i/>
          <w:iCs/>
          <w:lang w:val="en-US" w:eastAsia="zh-CN"/>
        </w:rPr>
      </w:pPr>
      <w:r>
        <w:rPr>
          <w:bCs/>
          <w:i/>
          <w:iCs/>
          <w:szCs w:val="21"/>
        </w:rPr>
        <w:t xml:space="preserve">Observation </w:t>
      </w:r>
      <w:r>
        <w:rPr>
          <w:rFonts w:hint="eastAsia"/>
          <w:bCs/>
          <w:i/>
          <w:iCs/>
          <w:szCs w:val="21"/>
          <w:lang w:val="en-US" w:eastAsia="zh-CN"/>
        </w:rPr>
        <w:t>5</w:t>
      </w:r>
      <w:r>
        <w:rPr>
          <w:bCs/>
          <w:i/>
          <w:iCs/>
          <w:szCs w:val="21"/>
        </w:rPr>
        <w:t>:</w:t>
      </w:r>
      <w:r>
        <w:rPr>
          <w:rFonts w:hint="eastAsia"/>
          <w:bCs/>
          <w:i/>
          <w:iCs/>
          <w:szCs w:val="21"/>
          <w:lang w:val="en-US" w:eastAsia="zh-CN"/>
        </w:rPr>
        <w:t xml:space="preserve"> If the MCG configuration only includes the CPAC related configuration, e.g. the </w:t>
      </w:r>
      <w:r>
        <w:rPr>
          <w:i/>
          <w:iCs/>
        </w:rPr>
        <w:t>sk-counter and the RadiobearerConfig</w:t>
      </w:r>
      <w:r>
        <w:rPr>
          <w:rFonts w:hint="eastAsia"/>
          <w:i/>
          <w:iCs/>
          <w:lang w:val="en-US" w:eastAsia="zh-CN"/>
        </w:rPr>
        <w:t>, it seems no problem for the MN to decode the complete message even if the MCG configuration at the UE side and the NW side are not fully aligned.</w:t>
      </w:r>
    </w:p>
    <w:p>
      <w:pPr>
        <w:rPr>
          <w:b/>
          <w:bCs/>
          <w:iCs/>
          <w:szCs w:val="21"/>
        </w:rPr>
      </w:pPr>
      <w:r>
        <w:rPr>
          <w:rFonts w:hint="eastAsia"/>
          <w:b/>
          <w:bCs/>
          <w:iCs/>
          <w:szCs w:val="21"/>
        </w:rPr>
        <w:t>P</w:t>
      </w:r>
      <w:r>
        <w:rPr>
          <w:b/>
          <w:bCs/>
          <w:iCs/>
          <w:szCs w:val="21"/>
        </w:rPr>
        <w:t>roposal 4: It can be up to the NW implantation to ensure that no problem is caused by unsynchronized update of MCG configuration at CPAC execution, e.g. not update the MCG lower layer configurations and SRB configuration in the CPAC configuration.</w:t>
      </w:r>
    </w:p>
    <w:p>
      <w:pPr>
        <w:autoSpaceDE w:val="0"/>
        <w:adjustRightInd w:val="0"/>
        <w:snapToGrid w:val="0"/>
      </w:pPr>
      <w:r>
        <w:rPr>
          <w:rFonts w:hint="eastAsia"/>
          <w:i/>
          <w:iCs/>
        </w:rPr>
        <w:t xml:space="preserve">Observation </w:t>
      </w:r>
      <w:r>
        <w:rPr>
          <w:rFonts w:hint="eastAsia"/>
          <w:i/>
          <w:iCs/>
          <w:lang w:val="en-US" w:eastAsia="zh-CN"/>
        </w:rPr>
        <w:t>6</w:t>
      </w:r>
      <w:r>
        <w:rPr>
          <w:rFonts w:hint="eastAsia"/>
          <w:i/>
          <w:iCs/>
        </w:rPr>
        <w:t>: In SN initiated CPC, the source SN configuration update (e.g. the measurement gap configuration) caused by the candidate PSCells selection by the target SN, may require multiple round inter-node interaction between the MN, target SN and source SN, to avoid the configuration misalignment between the UE side and the target NW side.</w:t>
      </w:r>
    </w:p>
    <w:p>
      <w:pPr>
        <w:autoSpaceDE w:val="0"/>
        <w:adjustRightInd w:val="0"/>
        <w:snapToGrid w:val="0"/>
        <w:rPr>
          <w:rFonts w:hint="eastAsia"/>
        </w:rPr>
      </w:pPr>
      <w:r>
        <w:rPr>
          <w:rFonts w:hint="eastAsia"/>
          <w:i/>
          <w:iCs/>
        </w:rPr>
        <w:t xml:space="preserve">Observation </w:t>
      </w:r>
      <w:r>
        <w:rPr>
          <w:rFonts w:hint="eastAsia"/>
          <w:i/>
          <w:iCs/>
          <w:lang w:val="en-US" w:eastAsia="zh-CN"/>
        </w:rPr>
        <w:t>7</w:t>
      </w:r>
      <w:r>
        <w:rPr>
          <w:rFonts w:hint="eastAsia"/>
          <w:i/>
          <w:iCs/>
        </w:rPr>
        <w:t xml:space="preserve">: Considering that multiple candidate PSCells can be configured for the UE, using full configuration shall cause large signalling overhead. </w:t>
      </w:r>
    </w:p>
    <w:p>
      <w:pPr>
        <w:autoSpaceDE w:val="0"/>
        <w:adjustRightInd w:val="0"/>
        <w:snapToGrid w:val="0"/>
        <w:rPr>
          <w:rFonts w:hint="eastAsia"/>
          <w:b/>
          <w:bCs/>
        </w:rPr>
      </w:pPr>
      <w:r>
        <w:rPr>
          <w:rFonts w:hint="eastAsia"/>
          <w:b/>
          <w:bCs/>
        </w:rPr>
        <w:t xml:space="preserve">Proposal </w:t>
      </w:r>
      <w:r>
        <w:rPr>
          <w:rFonts w:hint="eastAsia"/>
          <w:b/>
          <w:bCs/>
          <w:lang w:val="en-US" w:eastAsia="zh-CN"/>
        </w:rPr>
        <w:t>5</w:t>
      </w:r>
      <w:r>
        <w:rPr>
          <w:rFonts w:hint="eastAsia"/>
          <w:b/>
          <w:bCs/>
        </w:rPr>
        <w:t xml:space="preserve">: A separate measurement gap (e.g. CPAC </w:t>
      </w:r>
      <w:r>
        <w:rPr>
          <w:rFonts w:hint="eastAsia"/>
          <w:b/>
          <w:bCs/>
          <w:lang w:val="en-US" w:eastAsia="zh-CN"/>
        </w:rPr>
        <w:t xml:space="preserve">specific </w:t>
      </w:r>
      <w:r>
        <w:rPr>
          <w:rFonts w:hint="eastAsia"/>
          <w:b/>
          <w:bCs/>
        </w:rPr>
        <w:t xml:space="preserve">measurement gap) to be used during the evaluation of CPAC, is </w:t>
      </w:r>
      <w:r>
        <w:rPr>
          <w:rFonts w:hint="eastAsia"/>
          <w:b/>
          <w:bCs/>
          <w:lang w:val="en-US" w:eastAsia="zh-CN"/>
        </w:rPr>
        <w:t>provided by the source SN</w:t>
      </w:r>
      <w:r>
        <w:rPr>
          <w:rFonts w:hint="eastAsia"/>
          <w:b/>
          <w:bCs/>
        </w:rPr>
        <w:t xml:space="preserve"> for the UE, which covers both CPAC related measurements and normal RRM measurements.</w:t>
      </w:r>
    </w:p>
    <w:p>
      <w:pPr>
        <w:autoSpaceDE w:val="0"/>
        <w:adjustRightInd w:val="0"/>
        <w:snapToGrid w:val="0"/>
        <w:rPr>
          <w:rFonts w:hint="eastAsia"/>
          <w:b/>
          <w:bCs/>
        </w:rPr>
      </w:pPr>
      <w:r>
        <w:rPr>
          <w:rFonts w:hint="eastAsia"/>
          <w:b/>
          <w:bCs/>
        </w:rPr>
        <w:t xml:space="preserve">Proposal </w:t>
      </w:r>
      <w:r>
        <w:rPr>
          <w:rFonts w:hint="eastAsia"/>
          <w:b/>
          <w:bCs/>
          <w:lang w:val="en-US" w:eastAsia="zh-CN"/>
        </w:rPr>
        <w:t>6</w:t>
      </w:r>
      <w:r>
        <w:rPr>
          <w:rFonts w:hint="eastAsia"/>
          <w:b/>
          <w:bCs/>
        </w:rPr>
        <w:t xml:space="preserve">. Upon reception of the CPAC </w:t>
      </w:r>
      <w:r>
        <w:rPr>
          <w:rFonts w:hint="eastAsia"/>
          <w:b/>
          <w:bCs/>
          <w:lang w:val="en-US" w:eastAsia="zh-CN"/>
        </w:rPr>
        <w:t>specific</w:t>
      </w:r>
      <w:r>
        <w:rPr>
          <w:rFonts w:hint="eastAsia"/>
          <w:b/>
          <w:bCs/>
        </w:rPr>
        <w:t xml:space="preserve"> measurement gap, the UE ignores the original measurement gap configuration and uses the new measurement gap configuration during the evaluation of CPAC.</w:t>
      </w:r>
    </w:p>
    <w:p>
      <w:pPr>
        <w:autoSpaceDE w:val="0"/>
        <w:adjustRightInd w:val="0"/>
        <w:snapToGrid w:val="0"/>
        <w:rPr>
          <w:rFonts w:hint="eastAsia"/>
          <w:b/>
          <w:bCs/>
        </w:rPr>
      </w:pPr>
      <w:r>
        <w:rPr>
          <w:rFonts w:hint="eastAsia"/>
          <w:b/>
          <w:bCs/>
        </w:rPr>
        <w:t xml:space="preserve">Proposal </w:t>
      </w:r>
      <w:r>
        <w:rPr>
          <w:rFonts w:hint="eastAsia"/>
          <w:b/>
          <w:bCs/>
          <w:lang w:val="en-US" w:eastAsia="zh-CN"/>
        </w:rPr>
        <w:t>7</w:t>
      </w:r>
      <w:r>
        <w:rPr>
          <w:rFonts w:hint="eastAsia"/>
          <w:b/>
          <w:bCs/>
        </w:rPr>
        <w:t xml:space="preserve">. Upon triggering the execution of CPAC, the UE applies the corresponding candidate cell configuration based on the original measurement gap configuration. </w:t>
      </w:r>
    </w:p>
    <w:p>
      <w:pPr>
        <w:autoSpaceDE w:val="0"/>
        <w:adjustRightInd w:val="0"/>
        <w:snapToGrid w:val="0"/>
      </w:pPr>
      <w:r>
        <w:rPr>
          <w:rFonts w:hint="eastAsia"/>
          <w:b/>
          <w:bCs/>
        </w:rPr>
        <w:t xml:space="preserve">Proposal </w:t>
      </w:r>
      <w:r>
        <w:rPr>
          <w:rFonts w:hint="eastAsia"/>
          <w:b/>
          <w:bCs/>
          <w:lang w:val="en-US" w:eastAsia="zh-CN"/>
        </w:rPr>
        <w:t>8</w:t>
      </w:r>
      <w:r>
        <w:rPr>
          <w:rFonts w:hint="eastAsia"/>
          <w:b/>
          <w:bCs/>
        </w:rPr>
        <w:t xml:space="preserve">. Upon successful completion of CPAC execution, the UE removes the CPAC </w:t>
      </w:r>
      <w:r>
        <w:rPr>
          <w:rFonts w:hint="eastAsia"/>
          <w:b/>
          <w:bCs/>
          <w:lang w:val="en-US" w:eastAsia="zh-CN"/>
        </w:rPr>
        <w:t>specific</w:t>
      </w:r>
      <w:r>
        <w:rPr>
          <w:rFonts w:hint="eastAsia"/>
          <w:b/>
          <w:bCs/>
        </w:rPr>
        <w:t xml:space="preserve"> measurement gap</w:t>
      </w:r>
      <w:r>
        <w:rPr>
          <w:rFonts w:hint="eastAsia"/>
          <w:b/>
          <w:bCs/>
          <w:lang w:val="en-US" w:eastAsia="zh-CN"/>
        </w:rPr>
        <w:t xml:space="preserve"> configuration</w:t>
      </w:r>
      <w:bookmarkStart w:id="4" w:name="_GoBack"/>
      <w:bookmarkEnd w:id="4"/>
      <w:r>
        <w:rPr>
          <w:rFonts w:hint="eastAsia"/>
          <w:b/>
          <w:bCs/>
        </w:rPr>
        <w:t xml:space="preserve">.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6"/>
        </w:numPr>
      </w:pPr>
      <w:r>
        <w:t>R2-2202029  Open issues for MR DC/CA further enhancements</w:t>
      </w:r>
      <w:r>
        <w:rPr>
          <w:rFonts w:hint="eastAsia"/>
        </w:rPr>
        <w:t xml:space="preserve"> </w:t>
      </w:r>
      <w:r>
        <w:t xml:space="preserve"> Huawei, HiSilicon</w:t>
      </w:r>
    </w:p>
    <w:p>
      <w:pPr>
        <w:numPr>
          <w:ilvl w:val="0"/>
          <w:numId w:val="6"/>
        </w:numPr>
      </w:pPr>
      <w:r>
        <w:rPr>
          <w:rFonts w:hint="eastAsia"/>
        </w:rPr>
        <w:t>RAN2#11</w:t>
      </w:r>
      <w:r>
        <w:t>2</w:t>
      </w:r>
      <w:r>
        <w:rPr>
          <w:rFonts w:hint="eastAsia"/>
        </w:rPr>
        <w:t>-e chair notes</w:t>
      </w:r>
    </w:p>
    <w:p>
      <w:pPr>
        <w:numPr>
          <w:ilvl w:val="0"/>
          <w:numId w:val="6"/>
        </w:numPr>
      </w:pPr>
      <w:r>
        <w:rPr>
          <w:rFonts w:hint="eastAsia"/>
        </w:rPr>
        <w:t>RAN2#11</w:t>
      </w:r>
      <w:r>
        <w:t>3bis</w:t>
      </w:r>
      <w:r>
        <w:rPr>
          <w:rFonts w:hint="eastAsia"/>
        </w:rPr>
        <w:t>-e chair notes</w:t>
      </w:r>
    </w:p>
    <w:p>
      <w:pPr>
        <w:numPr>
          <w:ilvl w:val="0"/>
          <w:numId w:val="6"/>
        </w:numPr>
      </w:pPr>
      <w:r>
        <w:t>R2-2202027  Introduction of efficient SCG activation/deactivation  Huawei, HiSilicon</w:t>
      </w:r>
    </w:p>
    <w:p>
      <w:pPr>
        <w:numPr>
          <w:ilvl w:val="0"/>
          <w:numId w:val="6"/>
        </w:numPr>
        <w:rPr>
          <w:rFonts w:hint="eastAsia"/>
        </w:rPr>
      </w:pPr>
      <w:r>
        <w:rPr>
          <w:rFonts w:hint="eastAsia"/>
        </w:rPr>
        <w:t>RAN2#11</w:t>
      </w:r>
      <w:r>
        <w:t>6</w:t>
      </w:r>
      <w:r>
        <w:rPr>
          <w:rFonts w:hint="eastAsia"/>
        </w:rPr>
        <w:t>-e chair notes</w:t>
      </w:r>
    </w:p>
    <w:p>
      <w:pPr>
        <w:numPr>
          <w:ilvl w:val="0"/>
          <w:numId w:val="6"/>
        </w:numPr>
      </w:pPr>
      <w:r>
        <w:t>R2-2201251 Remaining issues on CPAC from UE perspective CATT</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10" w:usb3="00000000" w:csb0="0008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Century">
    <w:panose1 w:val="02040604050505020304"/>
    <w:charset w:val="00"/>
    <w:family w:val="roman"/>
    <w:pitch w:val="default"/>
    <w:sig w:usb0="00000287" w:usb1="00000000" w:usb2="00000000" w:usb3="00000000" w:csb0="2000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3D3D26"/>
    <w:multiLevelType w:val="singleLevel"/>
    <w:tmpl w:val="AB3D3D26"/>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4D11F9C"/>
    <w:multiLevelType w:val="multilevel"/>
    <w:tmpl w:val="24D11F9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6D7A350E"/>
    <w:multiLevelType w:val="multilevel"/>
    <w:tmpl w:val="6D7A350E"/>
    <w:lvl w:ilvl="0" w:tentative="0">
      <w:start w:val="1"/>
      <w:numFmt w:val="bullet"/>
      <w:lvlText w:val=""/>
      <w:lvlJc w:val="left"/>
      <w:pPr>
        <w:ind w:left="1080" w:hanging="360"/>
      </w:pPr>
      <w:rPr>
        <w:rFonts w:hint="default" w:ascii="Symbol" w:hAnsi="Symbol"/>
      </w:rPr>
    </w:lvl>
    <w:lvl w:ilvl="1" w:tentative="0">
      <w:start w:val="1"/>
      <w:numFmt w:val="bullet"/>
      <w:lvlText w:val=""/>
      <w:lvlJc w:val="left"/>
      <w:pPr>
        <w:ind w:left="1800" w:hanging="360"/>
      </w:pPr>
      <w:rPr>
        <w:rFonts w:hint="default" w:ascii="Symbol" w:hAnsi="Symbol"/>
      </w:rPr>
    </w:lvl>
    <w:lvl w:ilvl="2" w:tentative="0">
      <w:start w:val="1"/>
      <w:numFmt w:val="bullet"/>
      <w:lvlText w:val=""/>
      <w:lvlJc w:val="left"/>
      <w:pPr>
        <w:ind w:left="2520" w:hanging="360"/>
      </w:pPr>
      <w:rPr>
        <w:rFonts w:hint="default" w:ascii="Wingdings" w:hAnsi="Wingdings"/>
      </w:rPr>
    </w:lvl>
    <w:lvl w:ilvl="3" w:tentative="0">
      <w:start w:val="0"/>
      <w:numFmt w:val="bullet"/>
      <w:lvlText w:val="•"/>
      <w:lvlJc w:val="left"/>
      <w:pPr>
        <w:ind w:left="3450" w:hanging="570"/>
      </w:pPr>
      <w:rPr>
        <w:rFonts w:hint="default" w:ascii="Times New Roman" w:hAnsi="Times New Roman" w:cs="Times New Roman"/>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1A15"/>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80B"/>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A229F"/>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1AD8"/>
    <w:rsid w:val="002E28F9"/>
    <w:rsid w:val="002E30C5"/>
    <w:rsid w:val="002E706F"/>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C61"/>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5F0D"/>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47A1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2B69"/>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174DF"/>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2407"/>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0C18"/>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9C"/>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D69"/>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3CDD"/>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0CB0"/>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373D3"/>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25C1"/>
    <w:rsid w:val="009647C5"/>
    <w:rsid w:val="00965BCB"/>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0D7"/>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5564"/>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0F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382"/>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1DD"/>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D295E"/>
    <w:rsid w:val="02380A58"/>
    <w:rsid w:val="024412BB"/>
    <w:rsid w:val="02490685"/>
    <w:rsid w:val="024A4AC8"/>
    <w:rsid w:val="024B320F"/>
    <w:rsid w:val="02657A19"/>
    <w:rsid w:val="02664651"/>
    <w:rsid w:val="02737CFE"/>
    <w:rsid w:val="02825D7D"/>
    <w:rsid w:val="028A67A0"/>
    <w:rsid w:val="028B3E82"/>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C3B3B"/>
    <w:rsid w:val="037175E3"/>
    <w:rsid w:val="03857386"/>
    <w:rsid w:val="03892EFE"/>
    <w:rsid w:val="03994D1D"/>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E0DFE"/>
    <w:rsid w:val="04067142"/>
    <w:rsid w:val="040D6866"/>
    <w:rsid w:val="041C2081"/>
    <w:rsid w:val="042320E4"/>
    <w:rsid w:val="043E7F06"/>
    <w:rsid w:val="044469A4"/>
    <w:rsid w:val="04456CA0"/>
    <w:rsid w:val="0451320B"/>
    <w:rsid w:val="045749CF"/>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E024B6"/>
    <w:rsid w:val="05F13BE9"/>
    <w:rsid w:val="05F178AC"/>
    <w:rsid w:val="06017A73"/>
    <w:rsid w:val="06022874"/>
    <w:rsid w:val="060A555D"/>
    <w:rsid w:val="06136726"/>
    <w:rsid w:val="06264510"/>
    <w:rsid w:val="06293C52"/>
    <w:rsid w:val="063F71ED"/>
    <w:rsid w:val="06406186"/>
    <w:rsid w:val="06577E85"/>
    <w:rsid w:val="0665683F"/>
    <w:rsid w:val="066F0DC7"/>
    <w:rsid w:val="067851DF"/>
    <w:rsid w:val="067F0396"/>
    <w:rsid w:val="069621D1"/>
    <w:rsid w:val="069E5DC0"/>
    <w:rsid w:val="069F3235"/>
    <w:rsid w:val="06AF5E97"/>
    <w:rsid w:val="06BB3C62"/>
    <w:rsid w:val="06CB10B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792179"/>
    <w:rsid w:val="078158EA"/>
    <w:rsid w:val="07843668"/>
    <w:rsid w:val="07847AEC"/>
    <w:rsid w:val="079368A6"/>
    <w:rsid w:val="07965C3F"/>
    <w:rsid w:val="07A575C7"/>
    <w:rsid w:val="07AA6390"/>
    <w:rsid w:val="07B47F2F"/>
    <w:rsid w:val="07BE2890"/>
    <w:rsid w:val="07C4242C"/>
    <w:rsid w:val="07C84D70"/>
    <w:rsid w:val="07E121C2"/>
    <w:rsid w:val="07E62C3B"/>
    <w:rsid w:val="07EC790A"/>
    <w:rsid w:val="07F50292"/>
    <w:rsid w:val="07FE63E8"/>
    <w:rsid w:val="083D222A"/>
    <w:rsid w:val="083E7D1C"/>
    <w:rsid w:val="083F69AD"/>
    <w:rsid w:val="08555405"/>
    <w:rsid w:val="08561FA2"/>
    <w:rsid w:val="08590F51"/>
    <w:rsid w:val="086334CF"/>
    <w:rsid w:val="08690BF0"/>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1959C4"/>
    <w:rsid w:val="092464BF"/>
    <w:rsid w:val="09330B6E"/>
    <w:rsid w:val="09392AF8"/>
    <w:rsid w:val="093E5899"/>
    <w:rsid w:val="094311F4"/>
    <w:rsid w:val="094F257F"/>
    <w:rsid w:val="096D227C"/>
    <w:rsid w:val="09712D2D"/>
    <w:rsid w:val="0980678C"/>
    <w:rsid w:val="098246C4"/>
    <w:rsid w:val="09A955D3"/>
    <w:rsid w:val="09B81315"/>
    <w:rsid w:val="09C068A5"/>
    <w:rsid w:val="09C1228B"/>
    <w:rsid w:val="09CA0AC6"/>
    <w:rsid w:val="09D50EC2"/>
    <w:rsid w:val="09E374D8"/>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B4AEA"/>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2F5449"/>
    <w:rsid w:val="0B3A6177"/>
    <w:rsid w:val="0B542366"/>
    <w:rsid w:val="0B565EA1"/>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F2FEF"/>
    <w:rsid w:val="0C115C01"/>
    <w:rsid w:val="0C21687B"/>
    <w:rsid w:val="0C221921"/>
    <w:rsid w:val="0C2B7B6C"/>
    <w:rsid w:val="0C35257F"/>
    <w:rsid w:val="0C4E0C6C"/>
    <w:rsid w:val="0C5C4277"/>
    <w:rsid w:val="0C70637B"/>
    <w:rsid w:val="0C710975"/>
    <w:rsid w:val="0C7A6655"/>
    <w:rsid w:val="0C7D69BF"/>
    <w:rsid w:val="0C97562A"/>
    <w:rsid w:val="0CB47222"/>
    <w:rsid w:val="0CB5613D"/>
    <w:rsid w:val="0CB97BBC"/>
    <w:rsid w:val="0CCA31B6"/>
    <w:rsid w:val="0CCE60AE"/>
    <w:rsid w:val="0CE2368A"/>
    <w:rsid w:val="0CE55396"/>
    <w:rsid w:val="0CF31DF7"/>
    <w:rsid w:val="0CF40AF8"/>
    <w:rsid w:val="0D1F6EAF"/>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930DC4"/>
    <w:rsid w:val="0EA41BE0"/>
    <w:rsid w:val="0EAD2320"/>
    <w:rsid w:val="0EB12EAE"/>
    <w:rsid w:val="0EC509E4"/>
    <w:rsid w:val="0ECC22F2"/>
    <w:rsid w:val="0ED4677A"/>
    <w:rsid w:val="0ED64E1A"/>
    <w:rsid w:val="0EDC06F9"/>
    <w:rsid w:val="0EE1071D"/>
    <w:rsid w:val="0EF05D44"/>
    <w:rsid w:val="0EFD6649"/>
    <w:rsid w:val="0EFF4DCA"/>
    <w:rsid w:val="0F0869CE"/>
    <w:rsid w:val="0F0F0B31"/>
    <w:rsid w:val="0F0F6DBD"/>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C249F"/>
    <w:rsid w:val="0FD97329"/>
    <w:rsid w:val="0FDD3ABD"/>
    <w:rsid w:val="0FDD41C9"/>
    <w:rsid w:val="0FDE34CC"/>
    <w:rsid w:val="0FDF1003"/>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E5C77"/>
    <w:rsid w:val="10A15BAF"/>
    <w:rsid w:val="10A54549"/>
    <w:rsid w:val="10AD1F54"/>
    <w:rsid w:val="10B20497"/>
    <w:rsid w:val="10B2230B"/>
    <w:rsid w:val="10BA6965"/>
    <w:rsid w:val="10C91FA9"/>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400E3"/>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D7743"/>
    <w:rsid w:val="160F2C35"/>
    <w:rsid w:val="16203964"/>
    <w:rsid w:val="162810CA"/>
    <w:rsid w:val="16314D23"/>
    <w:rsid w:val="164C502F"/>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CA1D2B"/>
    <w:rsid w:val="16DD0C31"/>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C173A"/>
    <w:rsid w:val="17CC5ECE"/>
    <w:rsid w:val="17CE580D"/>
    <w:rsid w:val="17D83819"/>
    <w:rsid w:val="17F60521"/>
    <w:rsid w:val="17FF4999"/>
    <w:rsid w:val="1800134D"/>
    <w:rsid w:val="180C023B"/>
    <w:rsid w:val="18170776"/>
    <w:rsid w:val="18226EE6"/>
    <w:rsid w:val="182B4F94"/>
    <w:rsid w:val="18366840"/>
    <w:rsid w:val="18474F16"/>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15C85"/>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B7D0E"/>
    <w:rsid w:val="1A4F26CC"/>
    <w:rsid w:val="1A552131"/>
    <w:rsid w:val="1A573AB7"/>
    <w:rsid w:val="1A7702EA"/>
    <w:rsid w:val="1A7C32FF"/>
    <w:rsid w:val="1A7C3F77"/>
    <w:rsid w:val="1A80010B"/>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B097FBA"/>
    <w:rsid w:val="1B2542E6"/>
    <w:rsid w:val="1B2929AB"/>
    <w:rsid w:val="1B47772F"/>
    <w:rsid w:val="1B50538E"/>
    <w:rsid w:val="1B5322E9"/>
    <w:rsid w:val="1B607248"/>
    <w:rsid w:val="1B612AFA"/>
    <w:rsid w:val="1B693EA3"/>
    <w:rsid w:val="1B6B1131"/>
    <w:rsid w:val="1B6C25E8"/>
    <w:rsid w:val="1B713D8C"/>
    <w:rsid w:val="1B741476"/>
    <w:rsid w:val="1B793426"/>
    <w:rsid w:val="1B801536"/>
    <w:rsid w:val="1B8260BC"/>
    <w:rsid w:val="1B8A2061"/>
    <w:rsid w:val="1BAA2BCF"/>
    <w:rsid w:val="1BD925D2"/>
    <w:rsid w:val="1BFA0C60"/>
    <w:rsid w:val="1C076C7C"/>
    <w:rsid w:val="1C161A83"/>
    <w:rsid w:val="1C1C4D13"/>
    <w:rsid w:val="1C296C3D"/>
    <w:rsid w:val="1C325787"/>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7E024C"/>
    <w:rsid w:val="1D812F92"/>
    <w:rsid w:val="1D850034"/>
    <w:rsid w:val="1D8B6EC0"/>
    <w:rsid w:val="1DA70EBB"/>
    <w:rsid w:val="1DAF2B60"/>
    <w:rsid w:val="1DAF4844"/>
    <w:rsid w:val="1DB15797"/>
    <w:rsid w:val="1DC43BC4"/>
    <w:rsid w:val="1DCC34E5"/>
    <w:rsid w:val="1DCF2EDB"/>
    <w:rsid w:val="1DDE47B5"/>
    <w:rsid w:val="1DE56A6A"/>
    <w:rsid w:val="1DEF0033"/>
    <w:rsid w:val="1DFD5D66"/>
    <w:rsid w:val="1E1C0F23"/>
    <w:rsid w:val="1E1D3350"/>
    <w:rsid w:val="1E2D3856"/>
    <w:rsid w:val="1E2E6394"/>
    <w:rsid w:val="1E493A73"/>
    <w:rsid w:val="1E4C7C99"/>
    <w:rsid w:val="1E6E29BC"/>
    <w:rsid w:val="1E721FE6"/>
    <w:rsid w:val="1E7E64D7"/>
    <w:rsid w:val="1E842EE0"/>
    <w:rsid w:val="1EA5131C"/>
    <w:rsid w:val="1EAC0652"/>
    <w:rsid w:val="1EC012AB"/>
    <w:rsid w:val="1EC33879"/>
    <w:rsid w:val="1EC97015"/>
    <w:rsid w:val="1ED25FFE"/>
    <w:rsid w:val="1EDD24BC"/>
    <w:rsid w:val="1EE16ED9"/>
    <w:rsid w:val="1EEA0C85"/>
    <w:rsid w:val="1EEA691B"/>
    <w:rsid w:val="1F1E5DB2"/>
    <w:rsid w:val="1F293665"/>
    <w:rsid w:val="1F2D7AB7"/>
    <w:rsid w:val="1F3C203A"/>
    <w:rsid w:val="1F4154A3"/>
    <w:rsid w:val="1F495793"/>
    <w:rsid w:val="1F4F31D2"/>
    <w:rsid w:val="1F8B4035"/>
    <w:rsid w:val="1F8E5C30"/>
    <w:rsid w:val="1F8F3B44"/>
    <w:rsid w:val="1FA042BC"/>
    <w:rsid w:val="1FAD75BF"/>
    <w:rsid w:val="1FB468E3"/>
    <w:rsid w:val="1FB87C4A"/>
    <w:rsid w:val="1FDE1119"/>
    <w:rsid w:val="1FDE5CF0"/>
    <w:rsid w:val="1FF63782"/>
    <w:rsid w:val="20055D8E"/>
    <w:rsid w:val="2010595F"/>
    <w:rsid w:val="20444A13"/>
    <w:rsid w:val="204A3E68"/>
    <w:rsid w:val="204E2B4B"/>
    <w:rsid w:val="204F627F"/>
    <w:rsid w:val="20577738"/>
    <w:rsid w:val="205B6F25"/>
    <w:rsid w:val="206E2E6F"/>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7B0B71"/>
    <w:rsid w:val="22805B8B"/>
    <w:rsid w:val="228135D1"/>
    <w:rsid w:val="2281465F"/>
    <w:rsid w:val="22A13519"/>
    <w:rsid w:val="22B23E9D"/>
    <w:rsid w:val="22C54E5E"/>
    <w:rsid w:val="22C84261"/>
    <w:rsid w:val="22CA6D56"/>
    <w:rsid w:val="22CD373A"/>
    <w:rsid w:val="22CD57C2"/>
    <w:rsid w:val="22CE6C8E"/>
    <w:rsid w:val="22D45893"/>
    <w:rsid w:val="22EB007E"/>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BB4627"/>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7D9"/>
    <w:rsid w:val="24CE18C8"/>
    <w:rsid w:val="24DB7584"/>
    <w:rsid w:val="24DC690A"/>
    <w:rsid w:val="24DF68C8"/>
    <w:rsid w:val="24E113F5"/>
    <w:rsid w:val="24E70DDF"/>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5B550E"/>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4A6662"/>
    <w:rsid w:val="27570A55"/>
    <w:rsid w:val="275C2CB3"/>
    <w:rsid w:val="276A0443"/>
    <w:rsid w:val="276C1027"/>
    <w:rsid w:val="277328A2"/>
    <w:rsid w:val="27746913"/>
    <w:rsid w:val="2775446F"/>
    <w:rsid w:val="278B2D28"/>
    <w:rsid w:val="27947308"/>
    <w:rsid w:val="2796033D"/>
    <w:rsid w:val="27B60AFD"/>
    <w:rsid w:val="27B914E9"/>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B361A"/>
    <w:rsid w:val="29232AF9"/>
    <w:rsid w:val="2925011C"/>
    <w:rsid w:val="29291D27"/>
    <w:rsid w:val="29334E58"/>
    <w:rsid w:val="29342C80"/>
    <w:rsid w:val="293F4FBE"/>
    <w:rsid w:val="294D1445"/>
    <w:rsid w:val="296D72E7"/>
    <w:rsid w:val="29776B33"/>
    <w:rsid w:val="297C4F1B"/>
    <w:rsid w:val="29821EF7"/>
    <w:rsid w:val="29841FF1"/>
    <w:rsid w:val="299159E7"/>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335B8"/>
    <w:rsid w:val="2A5E4F9C"/>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7B0C"/>
    <w:rsid w:val="2AA16B48"/>
    <w:rsid w:val="2AA71A15"/>
    <w:rsid w:val="2AAB20D4"/>
    <w:rsid w:val="2AB072BA"/>
    <w:rsid w:val="2ABC14DB"/>
    <w:rsid w:val="2ABE3874"/>
    <w:rsid w:val="2ACA1D12"/>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40B4C"/>
    <w:rsid w:val="2C0B1078"/>
    <w:rsid w:val="2C232156"/>
    <w:rsid w:val="2C253560"/>
    <w:rsid w:val="2C295909"/>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E0D4E92"/>
    <w:rsid w:val="2E101687"/>
    <w:rsid w:val="2E126562"/>
    <w:rsid w:val="2E1B62A5"/>
    <w:rsid w:val="2E1D58DE"/>
    <w:rsid w:val="2E32124B"/>
    <w:rsid w:val="2E3931A6"/>
    <w:rsid w:val="2E3F01AF"/>
    <w:rsid w:val="2E4D43C9"/>
    <w:rsid w:val="2E5513C9"/>
    <w:rsid w:val="2E564CDD"/>
    <w:rsid w:val="2E575F25"/>
    <w:rsid w:val="2E581950"/>
    <w:rsid w:val="2E5865F6"/>
    <w:rsid w:val="2E664B44"/>
    <w:rsid w:val="2E6700E1"/>
    <w:rsid w:val="2E6E3AC1"/>
    <w:rsid w:val="2E806A22"/>
    <w:rsid w:val="2E8C2695"/>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9251E4"/>
    <w:rsid w:val="2FA557A7"/>
    <w:rsid w:val="2FBC1882"/>
    <w:rsid w:val="2FBD3859"/>
    <w:rsid w:val="2FC40827"/>
    <w:rsid w:val="2FCC6278"/>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6244B7"/>
    <w:rsid w:val="316F1595"/>
    <w:rsid w:val="31854918"/>
    <w:rsid w:val="31963578"/>
    <w:rsid w:val="31A32722"/>
    <w:rsid w:val="31A91D45"/>
    <w:rsid w:val="31AC7DF1"/>
    <w:rsid w:val="31AE5339"/>
    <w:rsid w:val="31BA0E10"/>
    <w:rsid w:val="31BB2CDB"/>
    <w:rsid w:val="31C44658"/>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2FD0FA8"/>
    <w:rsid w:val="33022768"/>
    <w:rsid w:val="331B6ED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8653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8C7D13"/>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579C1"/>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DA71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6D4EA7"/>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C454C6"/>
    <w:rsid w:val="3FC657A0"/>
    <w:rsid w:val="3FD86B47"/>
    <w:rsid w:val="3FE31D82"/>
    <w:rsid w:val="3FEE7226"/>
    <w:rsid w:val="3FF60A01"/>
    <w:rsid w:val="400C2C3F"/>
    <w:rsid w:val="40123B43"/>
    <w:rsid w:val="40151C80"/>
    <w:rsid w:val="401A4816"/>
    <w:rsid w:val="404224B6"/>
    <w:rsid w:val="40432906"/>
    <w:rsid w:val="40433886"/>
    <w:rsid w:val="40516742"/>
    <w:rsid w:val="405B60B6"/>
    <w:rsid w:val="40633FD6"/>
    <w:rsid w:val="406903C7"/>
    <w:rsid w:val="406930A8"/>
    <w:rsid w:val="406F59D7"/>
    <w:rsid w:val="40786C8E"/>
    <w:rsid w:val="407E6327"/>
    <w:rsid w:val="40805B94"/>
    <w:rsid w:val="40813DBE"/>
    <w:rsid w:val="40830B74"/>
    <w:rsid w:val="40AA54F1"/>
    <w:rsid w:val="40C849B9"/>
    <w:rsid w:val="40CC1C7A"/>
    <w:rsid w:val="40D145D9"/>
    <w:rsid w:val="40DA6699"/>
    <w:rsid w:val="40E81F30"/>
    <w:rsid w:val="4107385B"/>
    <w:rsid w:val="4113642B"/>
    <w:rsid w:val="41151751"/>
    <w:rsid w:val="411D5581"/>
    <w:rsid w:val="411F13DA"/>
    <w:rsid w:val="41225E28"/>
    <w:rsid w:val="413635BD"/>
    <w:rsid w:val="413B717B"/>
    <w:rsid w:val="413E7731"/>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60430"/>
    <w:rsid w:val="430B71E6"/>
    <w:rsid w:val="4313140F"/>
    <w:rsid w:val="431F3B2A"/>
    <w:rsid w:val="4328234D"/>
    <w:rsid w:val="4328318E"/>
    <w:rsid w:val="4337362E"/>
    <w:rsid w:val="43377A41"/>
    <w:rsid w:val="433C0AD9"/>
    <w:rsid w:val="43474516"/>
    <w:rsid w:val="435C2DD4"/>
    <w:rsid w:val="43606EE8"/>
    <w:rsid w:val="436D6C7E"/>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A637EF"/>
    <w:rsid w:val="45B33A3B"/>
    <w:rsid w:val="45B45481"/>
    <w:rsid w:val="45C20D69"/>
    <w:rsid w:val="45D077D4"/>
    <w:rsid w:val="45DE6754"/>
    <w:rsid w:val="45EF1E60"/>
    <w:rsid w:val="45F65F21"/>
    <w:rsid w:val="45F877F1"/>
    <w:rsid w:val="45F97C10"/>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B62DB4"/>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9C6452"/>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B839C4"/>
    <w:rsid w:val="49D94FE5"/>
    <w:rsid w:val="49F43B8C"/>
    <w:rsid w:val="49F678F8"/>
    <w:rsid w:val="4A0D10B0"/>
    <w:rsid w:val="4A223490"/>
    <w:rsid w:val="4A280924"/>
    <w:rsid w:val="4A2B1DEA"/>
    <w:rsid w:val="4A2D0F49"/>
    <w:rsid w:val="4A3523B2"/>
    <w:rsid w:val="4A443451"/>
    <w:rsid w:val="4A483D90"/>
    <w:rsid w:val="4A615695"/>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D70D0D"/>
    <w:rsid w:val="4BE55BB9"/>
    <w:rsid w:val="4BE75CB2"/>
    <w:rsid w:val="4BEE16DF"/>
    <w:rsid w:val="4C0F5E43"/>
    <w:rsid w:val="4C23594D"/>
    <w:rsid w:val="4C2941CA"/>
    <w:rsid w:val="4C2E7524"/>
    <w:rsid w:val="4C380520"/>
    <w:rsid w:val="4C3979DB"/>
    <w:rsid w:val="4C3D2514"/>
    <w:rsid w:val="4C3E0FF7"/>
    <w:rsid w:val="4C4128E4"/>
    <w:rsid w:val="4C423AC8"/>
    <w:rsid w:val="4C642696"/>
    <w:rsid w:val="4C753405"/>
    <w:rsid w:val="4C834096"/>
    <w:rsid w:val="4C847B8A"/>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40C26"/>
    <w:rsid w:val="4D1B2635"/>
    <w:rsid w:val="4D2251B3"/>
    <w:rsid w:val="4D2A31DF"/>
    <w:rsid w:val="4D3071CD"/>
    <w:rsid w:val="4D463441"/>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15FFC"/>
    <w:rsid w:val="4F7933F9"/>
    <w:rsid w:val="4F7B2A3C"/>
    <w:rsid w:val="4F8144A4"/>
    <w:rsid w:val="4F8731AB"/>
    <w:rsid w:val="4F903087"/>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209ED"/>
    <w:rsid w:val="51CB7231"/>
    <w:rsid w:val="51DE6A73"/>
    <w:rsid w:val="51F326E7"/>
    <w:rsid w:val="52037937"/>
    <w:rsid w:val="521956B4"/>
    <w:rsid w:val="52306F10"/>
    <w:rsid w:val="523D6D53"/>
    <w:rsid w:val="523F19CF"/>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66812"/>
    <w:rsid w:val="540D2DB1"/>
    <w:rsid w:val="54113405"/>
    <w:rsid w:val="54265DCC"/>
    <w:rsid w:val="54564BA3"/>
    <w:rsid w:val="545A23E4"/>
    <w:rsid w:val="545D2A76"/>
    <w:rsid w:val="54667453"/>
    <w:rsid w:val="547C69F2"/>
    <w:rsid w:val="548352CB"/>
    <w:rsid w:val="548B782B"/>
    <w:rsid w:val="548B79F3"/>
    <w:rsid w:val="54900F96"/>
    <w:rsid w:val="54990495"/>
    <w:rsid w:val="54A12B05"/>
    <w:rsid w:val="54AE498A"/>
    <w:rsid w:val="54B56EED"/>
    <w:rsid w:val="54D509EC"/>
    <w:rsid w:val="54D73DC0"/>
    <w:rsid w:val="54D94CB6"/>
    <w:rsid w:val="55093E22"/>
    <w:rsid w:val="553266E7"/>
    <w:rsid w:val="553413DD"/>
    <w:rsid w:val="55367F4D"/>
    <w:rsid w:val="553A13A9"/>
    <w:rsid w:val="55440B0E"/>
    <w:rsid w:val="55494A31"/>
    <w:rsid w:val="554B1F27"/>
    <w:rsid w:val="556D79E1"/>
    <w:rsid w:val="557370C9"/>
    <w:rsid w:val="55794F8B"/>
    <w:rsid w:val="557B4C8B"/>
    <w:rsid w:val="55832F33"/>
    <w:rsid w:val="558A5F58"/>
    <w:rsid w:val="558D782E"/>
    <w:rsid w:val="558F42FA"/>
    <w:rsid w:val="55951C70"/>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874D5"/>
    <w:rsid w:val="56597936"/>
    <w:rsid w:val="565A3745"/>
    <w:rsid w:val="56674043"/>
    <w:rsid w:val="566A4A9E"/>
    <w:rsid w:val="56890707"/>
    <w:rsid w:val="5694199B"/>
    <w:rsid w:val="56A010CA"/>
    <w:rsid w:val="56A8433D"/>
    <w:rsid w:val="56B50793"/>
    <w:rsid w:val="56D87655"/>
    <w:rsid w:val="56DA3AE3"/>
    <w:rsid w:val="56DC7D13"/>
    <w:rsid w:val="56DD7F29"/>
    <w:rsid w:val="56DF393F"/>
    <w:rsid w:val="56E70250"/>
    <w:rsid w:val="56E82126"/>
    <w:rsid w:val="56F267E1"/>
    <w:rsid w:val="56F54041"/>
    <w:rsid w:val="57036935"/>
    <w:rsid w:val="57066F91"/>
    <w:rsid w:val="571324AB"/>
    <w:rsid w:val="57170A49"/>
    <w:rsid w:val="571E6EC9"/>
    <w:rsid w:val="57211E57"/>
    <w:rsid w:val="57271B76"/>
    <w:rsid w:val="57290486"/>
    <w:rsid w:val="57495B53"/>
    <w:rsid w:val="57555665"/>
    <w:rsid w:val="575F3DA0"/>
    <w:rsid w:val="5764164C"/>
    <w:rsid w:val="576E32F7"/>
    <w:rsid w:val="57741E6F"/>
    <w:rsid w:val="577838C7"/>
    <w:rsid w:val="577A51D7"/>
    <w:rsid w:val="577D44B4"/>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383FC3"/>
    <w:rsid w:val="593B0E3D"/>
    <w:rsid w:val="594C374D"/>
    <w:rsid w:val="59523F34"/>
    <w:rsid w:val="59565A07"/>
    <w:rsid w:val="595912C2"/>
    <w:rsid w:val="59826013"/>
    <w:rsid w:val="598C6A35"/>
    <w:rsid w:val="599312D8"/>
    <w:rsid w:val="59A83A62"/>
    <w:rsid w:val="59AE6DF4"/>
    <w:rsid w:val="59AF2D7A"/>
    <w:rsid w:val="59B4120E"/>
    <w:rsid w:val="59BD41FF"/>
    <w:rsid w:val="59C62A60"/>
    <w:rsid w:val="59CF35AC"/>
    <w:rsid w:val="59D93084"/>
    <w:rsid w:val="59E268FB"/>
    <w:rsid w:val="59E539F6"/>
    <w:rsid w:val="5A082B87"/>
    <w:rsid w:val="5A0C31B3"/>
    <w:rsid w:val="5A0D6A16"/>
    <w:rsid w:val="5A13713E"/>
    <w:rsid w:val="5A1B18B7"/>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E1668"/>
    <w:rsid w:val="5B39471A"/>
    <w:rsid w:val="5B4C60A1"/>
    <w:rsid w:val="5B500A59"/>
    <w:rsid w:val="5B506AC3"/>
    <w:rsid w:val="5B526958"/>
    <w:rsid w:val="5B536466"/>
    <w:rsid w:val="5B5B7E61"/>
    <w:rsid w:val="5B68723A"/>
    <w:rsid w:val="5B743189"/>
    <w:rsid w:val="5B875274"/>
    <w:rsid w:val="5B89671E"/>
    <w:rsid w:val="5B930D6A"/>
    <w:rsid w:val="5B9C259D"/>
    <w:rsid w:val="5BA51E4A"/>
    <w:rsid w:val="5BA93B43"/>
    <w:rsid w:val="5BB60D62"/>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0A43E3"/>
    <w:rsid w:val="5D11373C"/>
    <w:rsid w:val="5D155469"/>
    <w:rsid w:val="5D1B79E4"/>
    <w:rsid w:val="5D2F09CE"/>
    <w:rsid w:val="5D4C2BA0"/>
    <w:rsid w:val="5D604556"/>
    <w:rsid w:val="5DA03427"/>
    <w:rsid w:val="5DA12B26"/>
    <w:rsid w:val="5DA52D6F"/>
    <w:rsid w:val="5DBE365D"/>
    <w:rsid w:val="5DF242AA"/>
    <w:rsid w:val="5DF27D5A"/>
    <w:rsid w:val="5DF90388"/>
    <w:rsid w:val="5E033F14"/>
    <w:rsid w:val="5E040059"/>
    <w:rsid w:val="5E084C7B"/>
    <w:rsid w:val="5E0914A4"/>
    <w:rsid w:val="5E0A5C5D"/>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9630F"/>
    <w:rsid w:val="5F6A70E7"/>
    <w:rsid w:val="5F7413ED"/>
    <w:rsid w:val="5F74277E"/>
    <w:rsid w:val="5F771E2C"/>
    <w:rsid w:val="5F817E11"/>
    <w:rsid w:val="5F916B4B"/>
    <w:rsid w:val="5F9C1A78"/>
    <w:rsid w:val="5FA76A91"/>
    <w:rsid w:val="5FBA5EC2"/>
    <w:rsid w:val="5FC57C91"/>
    <w:rsid w:val="5FCE245F"/>
    <w:rsid w:val="5FD32219"/>
    <w:rsid w:val="5FDC1B9B"/>
    <w:rsid w:val="5FF50B7C"/>
    <w:rsid w:val="5FF74A8C"/>
    <w:rsid w:val="5FF80F4A"/>
    <w:rsid w:val="5FFB1252"/>
    <w:rsid w:val="60072412"/>
    <w:rsid w:val="600E0E1E"/>
    <w:rsid w:val="60130301"/>
    <w:rsid w:val="60196F3A"/>
    <w:rsid w:val="603043EF"/>
    <w:rsid w:val="604D59E9"/>
    <w:rsid w:val="6053446B"/>
    <w:rsid w:val="606821BD"/>
    <w:rsid w:val="60830074"/>
    <w:rsid w:val="60870B21"/>
    <w:rsid w:val="608E350A"/>
    <w:rsid w:val="609367C6"/>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23FB3"/>
    <w:rsid w:val="6209128F"/>
    <w:rsid w:val="620E5D8A"/>
    <w:rsid w:val="62125083"/>
    <w:rsid w:val="62262E7A"/>
    <w:rsid w:val="6231003C"/>
    <w:rsid w:val="62366488"/>
    <w:rsid w:val="623A430E"/>
    <w:rsid w:val="623B63B7"/>
    <w:rsid w:val="623F4920"/>
    <w:rsid w:val="62494F09"/>
    <w:rsid w:val="624A1B49"/>
    <w:rsid w:val="624E45D8"/>
    <w:rsid w:val="6250617C"/>
    <w:rsid w:val="62520DCA"/>
    <w:rsid w:val="62526C82"/>
    <w:rsid w:val="62666F47"/>
    <w:rsid w:val="62690F67"/>
    <w:rsid w:val="627A370F"/>
    <w:rsid w:val="62990512"/>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B84681"/>
    <w:rsid w:val="63C75B92"/>
    <w:rsid w:val="63CA29B9"/>
    <w:rsid w:val="63D3253C"/>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4FE4F61"/>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843C27"/>
    <w:rsid w:val="668A358B"/>
    <w:rsid w:val="66A22294"/>
    <w:rsid w:val="66B167D9"/>
    <w:rsid w:val="66B718F6"/>
    <w:rsid w:val="66B77C96"/>
    <w:rsid w:val="66C6028C"/>
    <w:rsid w:val="66EB255A"/>
    <w:rsid w:val="66F35B25"/>
    <w:rsid w:val="66FA0F0B"/>
    <w:rsid w:val="66FD34E6"/>
    <w:rsid w:val="66FE30D6"/>
    <w:rsid w:val="67087440"/>
    <w:rsid w:val="670B02A7"/>
    <w:rsid w:val="671A5340"/>
    <w:rsid w:val="671B2EF2"/>
    <w:rsid w:val="671D6D0D"/>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6155"/>
    <w:rsid w:val="67AF7478"/>
    <w:rsid w:val="67B36D91"/>
    <w:rsid w:val="67CD4770"/>
    <w:rsid w:val="67DF5131"/>
    <w:rsid w:val="67E0527D"/>
    <w:rsid w:val="67E31422"/>
    <w:rsid w:val="67EA4D75"/>
    <w:rsid w:val="67F12CC4"/>
    <w:rsid w:val="67F50316"/>
    <w:rsid w:val="67F8136D"/>
    <w:rsid w:val="680B3317"/>
    <w:rsid w:val="682C3322"/>
    <w:rsid w:val="683407D5"/>
    <w:rsid w:val="683F785C"/>
    <w:rsid w:val="68570DC2"/>
    <w:rsid w:val="6865768E"/>
    <w:rsid w:val="6868422B"/>
    <w:rsid w:val="68756660"/>
    <w:rsid w:val="687B65AE"/>
    <w:rsid w:val="68847A53"/>
    <w:rsid w:val="68910854"/>
    <w:rsid w:val="68A208F6"/>
    <w:rsid w:val="68A864AF"/>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B22B9"/>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337910"/>
    <w:rsid w:val="6C404FA0"/>
    <w:rsid w:val="6C4B4E38"/>
    <w:rsid w:val="6C5343CE"/>
    <w:rsid w:val="6C5643DD"/>
    <w:rsid w:val="6C6A178A"/>
    <w:rsid w:val="6C7257CE"/>
    <w:rsid w:val="6C727D8C"/>
    <w:rsid w:val="6C7C29A7"/>
    <w:rsid w:val="6C804214"/>
    <w:rsid w:val="6C866650"/>
    <w:rsid w:val="6CB56876"/>
    <w:rsid w:val="6CB569E9"/>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191179"/>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35D3E"/>
    <w:rsid w:val="6EEB23CD"/>
    <w:rsid w:val="6EEB289D"/>
    <w:rsid w:val="6EEC2156"/>
    <w:rsid w:val="6EF76E3B"/>
    <w:rsid w:val="6F08121A"/>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E56CB3"/>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B4086"/>
    <w:rsid w:val="75DF68BB"/>
    <w:rsid w:val="75E417B2"/>
    <w:rsid w:val="76132FE4"/>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63E3A"/>
    <w:rsid w:val="76F754DC"/>
    <w:rsid w:val="77363120"/>
    <w:rsid w:val="7759241E"/>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35E8E"/>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1F4E26"/>
    <w:rsid w:val="794E1E8C"/>
    <w:rsid w:val="794E6DA1"/>
    <w:rsid w:val="795718DC"/>
    <w:rsid w:val="795A7853"/>
    <w:rsid w:val="79625528"/>
    <w:rsid w:val="7963001B"/>
    <w:rsid w:val="796411F3"/>
    <w:rsid w:val="796528F1"/>
    <w:rsid w:val="79782668"/>
    <w:rsid w:val="797D7C7B"/>
    <w:rsid w:val="798473C1"/>
    <w:rsid w:val="798D0CB1"/>
    <w:rsid w:val="79A86E7D"/>
    <w:rsid w:val="79A917D5"/>
    <w:rsid w:val="79F866D7"/>
    <w:rsid w:val="7A0D5030"/>
    <w:rsid w:val="7A1F0B92"/>
    <w:rsid w:val="7A2F0FE2"/>
    <w:rsid w:val="7A2F6A25"/>
    <w:rsid w:val="7A320603"/>
    <w:rsid w:val="7A375628"/>
    <w:rsid w:val="7A3B0D02"/>
    <w:rsid w:val="7A3C0448"/>
    <w:rsid w:val="7A462225"/>
    <w:rsid w:val="7A4B1579"/>
    <w:rsid w:val="7A4E44E1"/>
    <w:rsid w:val="7A560120"/>
    <w:rsid w:val="7A644184"/>
    <w:rsid w:val="7A8E4AFE"/>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C1687"/>
    <w:rsid w:val="7DDC5561"/>
    <w:rsid w:val="7DE53A1D"/>
    <w:rsid w:val="7DE805EC"/>
    <w:rsid w:val="7DEE1D9E"/>
    <w:rsid w:val="7DFB2768"/>
    <w:rsid w:val="7E0B1ECA"/>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07377"/>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B22A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2"/>
    <w:qFormat/>
    <w:uiPriority w:val="0"/>
    <w:pPr>
      <w:widowControl/>
      <w:numPr>
        <w:ilvl w:val="1"/>
        <w:numId w:val="1"/>
      </w:numPr>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4">
    <w:name w:val="heading 3"/>
    <w:basedOn w:val="3"/>
    <w:next w:val="1"/>
    <w:link w:val="73"/>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5"/>
    <w:qFormat/>
    <w:uiPriority w:val="0"/>
    <w:pPr>
      <w:tabs>
        <w:tab w:val="left" w:pos="1008"/>
        <w:tab w:val="left" w:pos="2383"/>
        <w:tab w:val="clear" w:pos="864"/>
        <w:tab w:val="clear" w:pos="2071"/>
      </w:tabs>
      <w:ind w:left="2196"/>
      <w:outlineLvl w:val="4"/>
    </w:pPr>
  </w:style>
  <w:style w:type="paragraph" w:styleId="7">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ascii="Arial" w:hAnsi="Arial"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70"/>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8"/>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paragraph" w:customStyle="1" w:styleId="66">
    <w:name w:val="Doc-title"/>
    <w:basedOn w:val="1"/>
    <w:next w:val="67"/>
    <w:link w:val="110"/>
    <w:qFormat/>
    <w:uiPriority w:val="0"/>
    <w:pPr>
      <w:widowControl/>
      <w:ind w:left="1260" w:hanging="1260"/>
      <w:jc w:val="left"/>
    </w:pPr>
    <w:rPr>
      <w:rFonts w:ascii="Arial" w:hAnsi="Arial" w:eastAsia="MS Mincho"/>
      <w:kern w:val="0"/>
      <w:sz w:val="20"/>
      <w:lang w:val="en-GB" w:eastAsia="en-GB"/>
    </w:rPr>
  </w:style>
  <w:style w:type="paragraph" w:customStyle="1" w:styleId="67">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68">
    <w:name w:val="批注框文本 Char"/>
    <w:basedOn w:val="58"/>
    <w:link w:val="36"/>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文档结构图 Char"/>
    <w:basedOn w:val="58"/>
    <w:link w:val="24"/>
    <w:qFormat/>
    <w:uiPriority w:val="0"/>
    <w:rPr>
      <w:rFonts w:ascii="宋体"/>
      <w:kern w:val="2"/>
      <w:sz w:val="18"/>
      <w:szCs w:val="18"/>
    </w:rPr>
  </w:style>
  <w:style w:type="character" w:customStyle="1" w:styleId="71">
    <w:name w:val="标题 1 Char"/>
    <w:basedOn w:val="58"/>
    <w:link w:val="2"/>
    <w:qFormat/>
    <w:uiPriority w:val="0"/>
    <w:rPr>
      <w:b/>
      <w:bCs/>
      <w:kern w:val="44"/>
      <w:sz w:val="44"/>
      <w:szCs w:val="44"/>
    </w:rPr>
  </w:style>
  <w:style w:type="character" w:customStyle="1" w:styleId="72">
    <w:name w:val="标题 2 Char"/>
    <w:basedOn w:val="58"/>
    <w:link w:val="3"/>
    <w:qFormat/>
    <w:uiPriority w:val="0"/>
    <w:rPr>
      <w:rFonts w:ascii="Arial" w:hAnsi="Arial" w:eastAsia="MS Mincho"/>
      <w:sz w:val="24"/>
      <w:szCs w:val="32"/>
      <w:lang w:val="en-GB"/>
    </w:rPr>
  </w:style>
  <w:style w:type="character" w:customStyle="1" w:styleId="73">
    <w:name w:val="标题 3 Char"/>
    <w:basedOn w:val="58"/>
    <w:link w:val="4"/>
    <w:qFormat/>
    <w:uiPriority w:val="0"/>
    <w:rPr>
      <w:b/>
      <w:bCs/>
      <w:kern w:val="2"/>
      <w:sz w:val="32"/>
      <w:szCs w:val="32"/>
    </w:rPr>
  </w:style>
  <w:style w:type="character" w:customStyle="1" w:styleId="74">
    <w:name w:val="标题 4 Char"/>
    <w:basedOn w:val="58"/>
    <w:link w:val="5"/>
    <w:qFormat/>
    <w:uiPriority w:val="0"/>
    <w:rPr>
      <w:rFonts w:ascii="Arial" w:hAnsi="Arial" w:eastAsia="黑体"/>
      <w:b/>
      <w:kern w:val="2"/>
      <w:sz w:val="28"/>
      <w:szCs w:val="24"/>
    </w:rPr>
  </w:style>
  <w:style w:type="character" w:customStyle="1" w:styleId="75">
    <w:name w:val="标题 5 Char"/>
    <w:basedOn w:val="58"/>
    <w:link w:val="6"/>
    <w:qFormat/>
    <w:uiPriority w:val="0"/>
    <w:rPr>
      <w:b/>
      <w:kern w:val="2"/>
      <w:sz w:val="28"/>
      <w:szCs w:val="24"/>
    </w:rPr>
  </w:style>
  <w:style w:type="character" w:customStyle="1" w:styleId="76">
    <w:name w:val="标题 6 Char"/>
    <w:basedOn w:val="58"/>
    <w:link w:val="7"/>
    <w:qFormat/>
    <w:uiPriority w:val="0"/>
    <w:rPr>
      <w:rFonts w:ascii="Arial" w:hAnsi="Arial" w:eastAsia="黑体"/>
      <w:b/>
      <w:kern w:val="2"/>
      <w:sz w:val="24"/>
      <w:szCs w:val="24"/>
    </w:rPr>
  </w:style>
  <w:style w:type="character" w:customStyle="1" w:styleId="77">
    <w:name w:val="标题 7 Char"/>
    <w:basedOn w:val="58"/>
    <w:link w:val="8"/>
    <w:qFormat/>
    <w:uiPriority w:val="0"/>
    <w:rPr>
      <w:b/>
      <w:kern w:val="2"/>
      <w:sz w:val="24"/>
      <w:szCs w:val="24"/>
    </w:rPr>
  </w:style>
  <w:style w:type="character" w:customStyle="1" w:styleId="78">
    <w:name w:val="标题 8 Char"/>
    <w:basedOn w:val="58"/>
    <w:link w:val="9"/>
    <w:qFormat/>
    <w:uiPriority w:val="0"/>
    <w:rPr>
      <w:rFonts w:ascii="Arial" w:hAnsi="Arial" w:eastAsia="黑体"/>
      <w:kern w:val="2"/>
      <w:sz w:val="24"/>
      <w:szCs w:val="24"/>
    </w:rPr>
  </w:style>
  <w:style w:type="character" w:customStyle="1" w:styleId="79">
    <w:name w:val="标题 9 Char"/>
    <w:basedOn w:val="58"/>
    <w:link w:val="10"/>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67"/>
    <w:next w:val="67"/>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66"/>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题注 Char"/>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6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6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67"/>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67"/>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3"/>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67"/>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批注文字 Char1"/>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67"/>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67"/>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8"/>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 w:type="paragraph" w:customStyle="1" w:styleId="285">
    <w:name w:val="List Paragraph1"/>
    <w:basedOn w:val="1"/>
    <w:uiPriority w:val="0"/>
    <w:pPr>
      <w:autoSpaceDE w:val="0"/>
      <w:spacing w:before="100" w:beforeAutospacing="1" w:after="0" w:line="240" w:lineRule="auto"/>
      <w:ind w:left="840" w:leftChars="400"/>
    </w:pPr>
    <w:rPr>
      <w:rFonts w:ascii="Century" w:hAnsi="Century" w:eastAsia="Times New Roman"/>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0702A2-D534-44D9-88C7-22C6624BF630}">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1798</Words>
  <Characters>10250</Characters>
  <Lines>85</Lines>
  <Paragraphs>24</Paragraphs>
  <TotalTime>25</TotalTime>
  <ScaleCrop>false</ScaleCrop>
  <LinksUpToDate>false</LinksUpToDate>
  <CharactersWithSpaces>12024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cp:lastModifiedBy>
  <cp:lastPrinted>2113-01-01T00:00:00Z</cp:lastPrinted>
  <dcterms:modified xsi:type="dcterms:W3CDTF">2022-02-14T07:00:54Z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